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87217" w14:textId="77777777" w:rsidR="00CF2D13" w:rsidRDefault="00EA5C62">
      <w:pPr>
        <w:jc w:val="center"/>
        <w:rPr>
          <w:rFonts w:ascii="Arial" w:eastAsia="Arial" w:hAnsi="Arial" w:cs="Arial"/>
          <w:b/>
        </w:rPr>
      </w:pPr>
      <w:r>
        <w:rPr>
          <w:rFonts w:ascii="Arial" w:eastAsia="Arial" w:hAnsi="Arial" w:cs="Arial"/>
          <w:b/>
        </w:rPr>
        <w:t xml:space="preserve">INFORME TÉCNICO Y DE IMPACTO ECONÓMICO Y SOCIAL DE LAS INVERSIONES REALIZADAS EN 2025, CON RECURSOS DEL CUPO DE ENDEUDAMIENTO </w:t>
      </w:r>
    </w:p>
    <w:p w14:paraId="4D3DBD89" w14:textId="77777777" w:rsidR="00CF2D13" w:rsidRDefault="00EA5C62">
      <w:pPr>
        <w:rPr>
          <w:rFonts w:ascii="Arial" w:eastAsia="Arial" w:hAnsi="Arial" w:cs="Arial"/>
          <w:b/>
        </w:rPr>
      </w:pPr>
      <w:r>
        <w:rPr>
          <w:rFonts w:ascii="Arial" w:eastAsia="Arial" w:hAnsi="Arial" w:cs="Arial"/>
          <w:b/>
        </w:rPr>
        <w:t>Entidad: 215 - Fundación Gilberto Alzate Avendaño - FUGA</w:t>
      </w:r>
    </w:p>
    <w:p w14:paraId="549D2129" w14:textId="77777777" w:rsidR="00CF2D13" w:rsidRDefault="00CF2D13">
      <w:pPr>
        <w:pBdr>
          <w:bottom w:val="single" w:sz="4" w:space="1" w:color="000000"/>
        </w:pBdr>
        <w:jc w:val="right"/>
        <w:rPr>
          <w:rFonts w:ascii="Arial" w:eastAsia="Arial" w:hAnsi="Arial" w:cs="Arial"/>
          <w:b/>
        </w:rPr>
      </w:pPr>
    </w:p>
    <w:p w14:paraId="2B0E0D6B" w14:textId="77777777" w:rsidR="00CF2D13" w:rsidRDefault="00EA5C62">
      <w:pPr>
        <w:pBdr>
          <w:bottom w:val="single" w:sz="4" w:space="1" w:color="000000"/>
        </w:pBdr>
        <w:jc w:val="right"/>
        <w:rPr>
          <w:rFonts w:ascii="Arial" w:eastAsia="Arial" w:hAnsi="Arial" w:cs="Arial"/>
          <w:b/>
        </w:rPr>
      </w:pPr>
      <w:r>
        <w:rPr>
          <w:rFonts w:ascii="Arial" w:eastAsia="Arial" w:hAnsi="Arial" w:cs="Arial"/>
          <w:b/>
        </w:rPr>
        <w:t>IMPACTO ECONÓMICO</w:t>
      </w:r>
    </w:p>
    <w:p w14:paraId="55258E72" w14:textId="77777777" w:rsidR="00CF2D13" w:rsidRDefault="00EA5C62">
      <w:pPr>
        <w:numPr>
          <w:ilvl w:val="0"/>
          <w:numId w:val="5"/>
        </w:numPr>
        <w:pBdr>
          <w:top w:val="nil"/>
          <w:left w:val="nil"/>
          <w:bottom w:val="nil"/>
          <w:right w:val="nil"/>
          <w:between w:val="nil"/>
        </w:pBdr>
        <w:spacing w:after="0"/>
        <w:jc w:val="both"/>
        <w:rPr>
          <w:rFonts w:ascii="Arial" w:eastAsia="Arial" w:hAnsi="Arial" w:cs="Arial"/>
          <w:b/>
          <w:color w:val="000000"/>
        </w:rPr>
      </w:pPr>
      <w:r>
        <w:rPr>
          <w:rFonts w:ascii="Arial" w:eastAsia="Arial" w:hAnsi="Arial" w:cs="Arial"/>
          <w:b/>
          <w:color w:val="000000"/>
        </w:rPr>
        <w:t>Informe de ejecución presupuestal del cupo de endeudamiento</w:t>
      </w:r>
    </w:p>
    <w:p w14:paraId="1CD69DAF" w14:textId="77777777" w:rsidR="00CF2D13" w:rsidRDefault="00CF2D13">
      <w:pPr>
        <w:pBdr>
          <w:top w:val="nil"/>
          <w:left w:val="nil"/>
          <w:bottom w:val="nil"/>
          <w:right w:val="nil"/>
          <w:between w:val="nil"/>
        </w:pBdr>
        <w:ind w:left="720"/>
        <w:jc w:val="both"/>
        <w:rPr>
          <w:rFonts w:ascii="Arial" w:eastAsia="Arial" w:hAnsi="Arial" w:cs="Arial"/>
          <w:color w:val="000000"/>
        </w:rPr>
      </w:pPr>
    </w:p>
    <w:p w14:paraId="706BF61F" w14:textId="77777777" w:rsidR="00CF2D13" w:rsidRDefault="00EA5C62">
      <w:pPr>
        <w:spacing w:after="0" w:line="240" w:lineRule="auto"/>
        <w:jc w:val="center"/>
        <w:rPr>
          <w:rFonts w:ascii="Arial" w:eastAsia="Arial" w:hAnsi="Arial" w:cs="Arial"/>
        </w:rPr>
      </w:pPr>
      <w:r>
        <w:rPr>
          <w:rFonts w:ascii="Arial" w:eastAsia="Arial" w:hAnsi="Arial" w:cs="Arial"/>
        </w:rPr>
        <w:t>Cuadro N° 1: Impacto Económico</w:t>
      </w:r>
    </w:p>
    <w:p w14:paraId="78CE0243" w14:textId="77777777" w:rsidR="00CF2D13" w:rsidRDefault="00EA5C62">
      <w:pPr>
        <w:spacing w:after="0" w:line="240" w:lineRule="auto"/>
        <w:jc w:val="center"/>
        <w:rPr>
          <w:rFonts w:ascii="Arial" w:eastAsia="Arial" w:hAnsi="Arial" w:cs="Arial"/>
        </w:rPr>
      </w:pPr>
      <w:r>
        <w:rPr>
          <w:rFonts w:ascii="Arial" w:eastAsia="Arial" w:hAnsi="Arial" w:cs="Arial"/>
        </w:rPr>
        <w:t>Ejecución presupuestal cupo de endeudamiento</w:t>
      </w:r>
    </w:p>
    <w:p w14:paraId="1239C00D" w14:textId="77777777" w:rsidR="00CF2D13" w:rsidRDefault="00EA5C62">
      <w:pPr>
        <w:spacing w:after="0" w:line="240" w:lineRule="auto"/>
        <w:jc w:val="center"/>
        <w:rPr>
          <w:rFonts w:ascii="Arial" w:eastAsia="Arial" w:hAnsi="Arial" w:cs="Arial"/>
          <w:sz w:val="18"/>
          <w:szCs w:val="18"/>
        </w:rPr>
      </w:pPr>
      <w:r>
        <w:rPr>
          <w:rFonts w:ascii="Arial" w:eastAsia="Arial" w:hAnsi="Arial" w:cs="Arial"/>
          <w:sz w:val="20"/>
          <w:szCs w:val="20"/>
        </w:rPr>
        <w:t>Corte 30 de septiembre 2025</w:t>
      </w:r>
    </w:p>
    <w:p w14:paraId="4C896201" w14:textId="77777777" w:rsidR="00CF2D13" w:rsidRDefault="00EA5C62">
      <w:pPr>
        <w:spacing w:after="0" w:line="240" w:lineRule="auto"/>
        <w:jc w:val="right"/>
        <w:rPr>
          <w:rFonts w:ascii="Arial" w:eastAsia="Arial" w:hAnsi="Arial" w:cs="Arial"/>
          <w:sz w:val="20"/>
          <w:szCs w:val="20"/>
        </w:rPr>
      </w:pPr>
      <w:r>
        <w:rPr>
          <w:rFonts w:ascii="Arial" w:eastAsia="Arial" w:hAnsi="Arial" w:cs="Arial"/>
          <w:sz w:val="20"/>
          <w:szCs w:val="20"/>
        </w:rPr>
        <w:t>Cifras en pesos</w:t>
      </w:r>
    </w:p>
    <w:tbl>
      <w:tblPr>
        <w:tblStyle w:val="a"/>
        <w:tblW w:w="10620" w:type="dxa"/>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
        <w:gridCol w:w="2175"/>
        <w:gridCol w:w="1350"/>
        <w:gridCol w:w="1425"/>
        <w:gridCol w:w="1410"/>
        <w:gridCol w:w="975"/>
        <w:gridCol w:w="1365"/>
        <w:gridCol w:w="930"/>
      </w:tblGrid>
      <w:tr w:rsidR="00CF2D13" w14:paraId="3D0D2669" w14:textId="77777777">
        <w:trPr>
          <w:trHeight w:val="600"/>
        </w:trPr>
        <w:tc>
          <w:tcPr>
            <w:tcW w:w="990" w:type="dxa"/>
            <w:shd w:val="clear" w:color="auto" w:fill="1F4E79"/>
            <w:vAlign w:val="center"/>
          </w:tcPr>
          <w:p w14:paraId="4D818B71" w14:textId="77777777" w:rsidR="00CF2D13" w:rsidRDefault="00EA5C62">
            <w:pPr>
              <w:spacing w:after="0" w:line="240" w:lineRule="auto"/>
              <w:jc w:val="center"/>
              <w:rPr>
                <w:rFonts w:ascii="Arial" w:eastAsia="Arial" w:hAnsi="Arial" w:cs="Arial"/>
                <w:b/>
                <w:color w:val="FFFFFF"/>
                <w:sz w:val="16"/>
                <w:szCs w:val="16"/>
              </w:rPr>
            </w:pPr>
            <w:r>
              <w:rPr>
                <w:rFonts w:ascii="Arial" w:eastAsia="Arial" w:hAnsi="Arial" w:cs="Arial"/>
                <w:b/>
                <w:color w:val="FFFFFF"/>
                <w:sz w:val="16"/>
                <w:szCs w:val="16"/>
              </w:rPr>
              <w:t>Acuerdo</w:t>
            </w:r>
          </w:p>
          <w:p w14:paraId="7DCF4809" w14:textId="77777777" w:rsidR="00CF2D13" w:rsidRDefault="00EA5C62">
            <w:pPr>
              <w:spacing w:after="0" w:line="240" w:lineRule="auto"/>
              <w:jc w:val="center"/>
              <w:rPr>
                <w:rFonts w:ascii="Arial" w:eastAsia="Arial" w:hAnsi="Arial" w:cs="Arial"/>
                <w:b/>
                <w:color w:val="FFFFFF"/>
                <w:sz w:val="16"/>
                <w:szCs w:val="16"/>
              </w:rPr>
            </w:pPr>
            <w:r>
              <w:rPr>
                <w:rFonts w:ascii="Arial" w:eastAsia="Arial" w:hAnsi="Arial" w:cs="Arial"/>
                <w:b/>
                <w:color w:val="FFFFFF"/>
                <w:sz w:val="16"/>
                <w:szCs w:val="16"/>
              </w:rPr>
              <w:t>(840 o 939)</w:t>
            </w:r>
          </w:p>
        </w:tc>
        <w:tc>
          <w:tcPr>
            <w:tcW w:w="2175" w:type="dxa"/>
            <w:shd w:val="clear" w:color="auto" w:fill="1F4E79"/>
            <w:vAlign w:val="center"/>
          </w:tcPr>
          <w:p w14:paraId="140B873F" w14:textId="77777777" w:rsidR="00CF2D13" w:rsidRDefault="00EA5C62">
            <w:pPr>
              <w:spacing w:after="0" w:line="240" w:lineRule="auto"/>
              <w:jc w:val="center"/>
              <w:rPr>
                <w:rFonts w:ascii="Arial" w:eastAsia="Arial" w:hAnsi="Arial" w:cs="Arial"/>
                <w:b/>
                <w:color w:val="FFFFFF"/>
                <w:sz w:val="16"/>
                <w:szCs w:val="16"/>
              </w:rPr>
            </w:pPr>
            <w:r>
              <w:rPr>
                <w:rFonts w:ascii="Arial" w:eastAsia="Arial" w:hAnsi="Arial" w:cs="Arial"/>
                <w:b/>
                <w:color w:val="FFFFFF"/>
                <w:sz w:val="16"/>
                <w:szCs w:val="16"/>
              </w:rPr>
              <w:t>Proyecto</w:t>
            </w:r>
            <w:r>
              <w:rPr>
                <w:rFonts w:ascii="Arial" w:eastAsia="Arial" w:hAnsi="Arial" w:cs="Arial"/>
                <w:b/>
                <w:color w:val="FFFFFF"/>
                <w:sz w:val="16"/>
                <w:szCs w:val="16"/>
                <w:vertAlign w:val="superscript"/>
              </w:rPr>
              <w:t>1</w:t>
            </w:r>
          </w:p>
        </w:tc>
        <w:tc>
          <w:tcPr>
            <w:tcW w:w="1350" w:type="dxa"/>
            <w:shd w:val="clear" w:color="auto" w:fill="1F4E79"/>
            <w:vAlign w:val="center"/>
          </w:tcPr>
          <w:p w14:paraId="195026AC" w14:textId="77777777" w:rsidR="00CF2D13" w:rsidRDefault="00EA5C62">
            <w:pPr>
              <w:spacing w:after="0" w:line="240" w:lineRule="auto"/>
              <w:jc w:val="center"/>
              <w:rPr>
                <w:rFonts w:ascii="Arial" w:eastAsia="Arial" w:hAnsi="Arial" w:cs="Arial"/>
                <w:b/>
                <w:color w:val="FFFFFF"/>
                <w:sz w:val="16"/>
                <w:szCs w:val="16"/>
              </w:rPr>
            </w:pPr>
            <w:r>
              <w:rPr>
                <w:rFonts w:ascii="Arial" w:eastAsia="Arial" w:hAnsi="Arial" w:cs="Arial"/>
                <w:b/>
                <w:color w:val="FFFFFF"/>
                <w:sz w:val="16"/>
                <w:szCs w:val="16"/>
              </w:rPr>
              <w:t xml:space="preserve">Inversión ejecutada </w:t>
            </w:r>
            <w:r>
              <w:rPr>
                <w:rFonts w:ascii="Arial" w:eastAsia="Arial" w:hAnsi="Arial" w:cs="Arial"/>
                <w:b/>
                <w:color w:val="FFFFFF"/>
                <w:sz w:val="16"/>
                <w:szCs w:val="16"/>
                <w:vertAlign w:val="superscript"/>
              </w:rPr>
              <w:t>2</w:t>
            </w:r>
          </w:p>
        </w:tc>
        <w:tc>
          <w:tcPr>
            <w:tcW w:w="1425" w:type="dxa"/>
            <w:shd w:val="clear" w:color="auto" w:fill="1F4E79"/>
            <w:vAlign w:val="center"/>
          </w:tcPr>
          <w:p w14:paraId="32E86376" w14:textId="77777777" w:rsidR="00CF2D13" w:rsidRDefault="00EA5C62">
            <w:pPr>
              <w:spacing w:after="0" w:line="240" w:lineRule="auto"/>
              <w:jc w:val="center"/>
              <w:rPr>
                <w:rFonts w:ascii="Arial" w:eastAsia="Arial" w:hAnsi="Arial" w:cs="Arial"/>
                <w:b/>
                <w:color w:val="FFFFFF"/>
                <w:sz w:val="16"/>
                <w:szCs w:val="16"/>
              </w:rPr>
            </w:pPr>
            <w:r>
              <w:rPr>
                <w:rFonts w:ascii="Arial" w:eastAsia="Arial" w:hAnsi="Arial" w:cs="Arial"/>
                <w:b/>
                <w:color w:val="FFFFFF"/>
                <w:sz w:val="16"/>
                <w:szCs w:val="16"/>
              </w:rPr>
              <w:t>Apropiación Disponible para el gasto con Cupo</w:t>
            </w:r>
          </w:p>
        </w:tc>
        <w:tc>
          <w:tcPr>
            <w:tcW w:w="1410" w:type="dxa"/>
            <w:shd w:val="clear" w:color="auto" w:fill="1F4E79"/>
            <w:vAlign w:val="center"/>
          </w:tcPr>
          <w:p w14:paraId="183C6A94" w14:textId="77777777" w:rsidR="00CF2D13" w:rsidRDefault="00EA5C62">
            <w:pPr>
              <w:spacing w:after="0" w:line="240" w:lineRule="auto"/>
              <w:jc w:val="center"/>
              <w:rPr>
                <w:rFonts w:ascii="Arial" w:eastAsia="Arial" w:hAnsi="Arial" w:cs="Arial"/>
                <w:b/>
                <w:color w:val="FFFFFF"/>
                <w:sz w:val="16"/>
                <w:szCs w:val="16"/>
              </w:rPr>
            </w:pPr>
            <w:r>
              <w:rPr>
                <w:rFonts w:ascii="Arial" w:eastAsia="Arial" w:hAnsi="Arial" w:cs="Arial"/>
                <w:b/>
                <w:color w:val="FFFFFF"/>
                <w:sz w:val="16"/>
                <w:szCs w:val="16"/>
              </w:rPr>
              <w:t>Compromisos Acumulados (Cupo)</w:t>
            </w:r>
          </w:p>
        </w:tc>
        <w:tc>
          <w:tcPr>
            <w:tcW w:w="975" w:type="dxa"/>
            <w:shd w:val="clear" w:color="auto" w:fill="1F4E79"/>
            <w:vAlign w:val="center"/>
          </w:tcPr>
          <w:p w14:paraId="60D178E5" w14:textId="77777777" w:rsidR="00CF2D13" w:rsidRDefault="00EA5C62">
            <w:pPr>
              <w:spacing w:after="0" w:line="240" w:lineRule="auto"/>
              <w:jc w:val="center"/>
              <w:rPr>
                <w:rFonts w:ascii="Arial" w:eastAsia="Arial" w:hAnsi="Arial" w:cs="Arial"/>
                <w:b/>
                <w:color w:val="FFFFFF"/>
                <w:sz w:val="16"/>
                <w:szCs w:val="16"/>
              </w:rPr>
            </w:pPr>
            <w:r>
              <w:rPr>
                <w:rFonts w:ascii="Arial" w:eastAsia="Arial" w:hAnsi="Arial" w:cs="Arial"/>
                <w:b/>
                <w:color w:val="FFFFFF"/>
                <w:sz w:val="16"/>
                <w:szCs w:val="16"/>
              </w:rPr>
              <w:t>% Ejecución Compromisos</w:t>
            </w:r>
          </w:p>
        </w:tc>
        <w:tc>
          <w:tcPr>
            <w:tcW w:w="1365" w:type="dxa"/>
            <w:shd w:val="clear" w:color="auto" w:fill="1F4E79"/>
            <w:vAlign w:val="center"/>
          </w:tcPr>
          <w:p w14:paraId="5F17CDD2" w14:textId="77777777" w:rsidR="00CF2D13" w:rsidRDefault="00EA5C62">
            <w:pPr>
              <w:spacing w:after="0" w:line="240" w:lineRule="auto"/>
              <w:jc w:val="center"/>
              <w:rPr>
                <w:rFonts w:ascii="Arial" w:eastAsia="Arial" w:hAnsi="Arial" w:cs="Arial"/>
                <w:b/>
                <w:color w:val="FFFFFF"/>
                <w:sz w:val="16"/>
                <w:szCs w:val="16"/>
              </w:rPr>
            </w:pPr>
            <w:r>
              <w:rPr>
                <w:rFonts w:ascii="Arial" w:eastAsia="Arial" w:hAnsi="Arial" w:cs="Arial"/>
                <w:b/>
                <w:color w:val="FFFFFF"/>
                <w:sz w:val="16"/>
                <w:szCs w:val="16"/>
              </w:rPr>
              <w:t>Giros Acumulados</w:t>
            </w:r>
          </w:p>
        </w:tc>
        <w:tc>
          <w:tcPr>
            <w:tcW w:w="930" w:type="dxa"/>
            <w:shd w:val="clear" w:color="auto" w:fill="1F4E79"/>
            <w:vAlign w:val="center"/>
          </w:tcPr>
          <w:p w14:paraId="2F3FC8F5" w14:textId="77777777" w:rsidR="00CF2D13" w:rsidRDefault="00EA5C62">
            <w:pPr>
              <w:spacing w:after="0" w:line="240" w:lineRule="auto"/>
              <w:jc w:val="center"/>
              <w:rPr>
                <w:rFonts w:ascii="Arial" w:eastAsia="Arial" w:hAnsi="Arial" w:cs="Arial"/>
                <w:b/>
                <w:color w:val="FFFFFF"/>
                <w:sz w:val="16"/>
                <w:szCs w:val="16"/>
              </w:rPr>
            </w:pPr>
            <w:r>
              <w:rPr>
                <w:rFonts w:ascii="Arial" w:eastAsia="Arial" w:hAnsi="Arial" w:cs="Arial"/>
                <w:b/>
                <w:color w:val="FFFFFF"/>
                <w:sz w:val="16"/>
                <w:szCs w:val="16"/>
              </w:rPr>
              <w:t>% Ejecución Giros</w:t>
            </w:r>
          </w:p>
        </w:tc>
      </w:tr>
      <w:tr w:rsidR="00CF2D13" w14:paraId="4BF3BD6A" w14:textId="77777777">
        <w:trPr>
          <w:trHeight w:val="300"/>
        </w:trPr>
        <w:tc>
          <w:tcPr>
            <w:tcW w:w="990" w:type="dxa"/>
            <w:vAlign w:val="center"/>
          </w:tcPr>
          <w:p w14:paraId="3C8767F5" w14:textId="7312DD2D" w:rsidR="00CF2D13" w:rsidRDefault="009C3D3C">
            <w:pPr>
              <w:spacing w:after="0" w:line="240" w:lineRule="auto"/>
              <w:jc w:val="center"/>
              <w:rPr>
                <w:rFonts w:ascii="Arial" w:eastAsia="Arial" w:hAnsi="Arial" w:cs="Arial"/>
                <w:b/>
                <w:color w:val="000000"/>
                <w:sz w:val="16"/>
                <w:szCs w:val="16"/>
              </w:rPr>
            </w:pPr>
            <w:r>
              <w:rPr>
                <w:rFonts w:ascii="Arial" w:eastAsia="Arial" w:hAnsi="Arial" w:cs="Arial"/>
                <w:b/>
                <w:color w:val="000000"/>
                <w:sz w:val="16"/>
                <w:szCs w:val="16"/>
              </w:rPr>
              <w:t>939</w:t>
            </w:r>
            <w:r w:rsidR="00D916ED">
              <w:rPr>
                <w:rFonts w:ascii="Arial" w:eastAsia="Arial" w:hAnsi="Arial" w:cs="Arial"/>
                <w:b/>
                <w:color w:val="000000"/>
                <w:sz w:val="16"/>
                <w:szCs w:val="16"/>
              </w:rPr>
              <w:t xml:space="preserve"> de 2024</w:t>
            </w:r>
          </w:p>
        </w:tc>
        <w:tc>
          <w:tcPr>
            <w:tcW w:w="2175" w:type="dxa"/>
            <w:shd w:val="clear" w:color="auto" w:fill="auto"/>
            <w:vAlign w:val="center"/>
          </w:tcPr>
          <w:p w14:paraId="31ABE55E" w14:textId="77777777" w:rsidR="00CF2D13" w:rsidRDefault="00EA5C62">
            <w:pPr>
              <w:spacing w:after="0" w:line="240" w:lineRule="auto"/>
              <w:jc w:val="center"/>
              <w:rPr>
                <w:rFonts w:ascii="Arial" w:eastAsia="Arial" w:hAnsi="Arial" w:cs="Arial"/>
                <w:b/>
                <w:sz w:val="16"/>
                <w:szCs w:val="16"/>
              </w:rPr>
            </w:pPr>
            <w:r>
              <w:rPr>
                <w:rFonts w:ascii="Arial" w:eastAsia="Arial" w:hAnsi="Arial" w:cs="Arial"/>
                <w:b/>
                <w:sz w:val="16"/>
                <w:szCs w:val="16"/>
              </w:rPr>
              <w:t>BPIN: 2024110010053</w:t>
            </w:r>
          </w:p>
          <w:p w14:paraId="2A8B05F1" w14:textId="77777777" w:rsidR="00CF2D13" w:rsidRDefault="00CF2D13">
            <w:pPr>
              <w:spacing w:after="0" w:line="240" w:lineRule="auto"/>
              <w:jc w:val="center"/>
              <w:rPr>
                <w:rFonts w:ascii="Arial" w:eastAsia="Arial" w:hAnsi="Arial" w:cs="Arial"/>
                <w:b/>
                <w:sz w:val="16"/>
                <w:szCs w:val="16"/>
              </w:rPr>
            </w:pPr>
          </w:p>
          <w:p w14:paraId="326FAA45" w14:textId="77777777" w:rsidR="00CF2D13" w:rsidRDefault="00EA5C62">
            <w:pPr>
              <w:spacing w:after="0" w:line="240" w:lineRule="auto"/>
              <w:jc w:val="center"/>
              <w:rPr>
                <w:rFonts w:ascii="Arial" w:eastAsia="Arial" w:hAnsi="Arial" w:cs="Arial"/>
                <w:b/>
                <w:sz w:val="16"/>
                <w:szCs w:val="16"/>
              </w:rPr>
            </w:pPr>
            <w:r>
              <w:rPr>
                <w:rFonts w:ascii="Arial" w:eastAsia="Arial" w:hAnsi="Arial" w:cs="Arial"/>
                <w:b/>
                <w:sz w:val="16"/>
                <w:szCs w:val="16"/>
              </w:rPr>
              <w:t>Proyecto 7922 - Consolidación del Distrito Creativo en el Bronx para la revitalización del centro de la ciudad Bogotá D.C</w:t>
            </w:r>
          </w:p>
        </w:tc>
        <w:tc>
          <w:tcPr>
            <w:tcW w:w="1350" w:type="dxa"/>
          </w:tcPr>
          <w:p w14:paraId="00E3E9FE" w14:textId="77777777" w:rsidR="00CF2D13" w:rsidRDefault="00EA5C62">
            <w:pPr>
              <w:spacing w:after="0" w:line="240" w:lineRule="auto"/>
              <w:jc w:val="center"/>
              <w:rPr>
                <w:rFonts w:ascii="Arial" w:eastAsia="Arial" w:hAnsi="Arial" w:cs="Arial"/>
                <w:b/>
                <w:color w:val="000000"/>
                <w:sz w:val="16"/>
                <w:szCs w:val="16"/>
              </w:rPr>
            </w:pPr>
            <w:r>
              <w:rPr>
                <w:rFonts w:ascii="Arial" w:eastAsia="Arial" w:hAnsi="Arial" w:cs="Arial"/>
                <w:b/>
                <w:sz w:val="16"/>
                <w:szCs w:val="16"/>
              </w:rPr>
              <w:t>Bronx Distrito Creativo  (Fase II esquina redonda y parqueaderos)</w:t>
            </w:r>
          </w:p>
        </w:tc>
        <w:tc>
          <w:tcPr>
            <w:tcW w:w="1425" w:type="dxa"/>
            <w:shd w:val="clear" w:color="auto" w:fill="auto"/>
            <w:vAlign w:val="center"/>
          </w:tcPr>
          <w:p w14:paraId="42946F58" w14:textId="77777777" w:rsidR="00CF2D13" w:rsidRDefault="00EA5C62">
            <w:pPr>
              <w:spacing w:after="0" w:line="240" w:lineRule="auto"/>
              <w:jc w:val="center"/>
              <w:rPr>
                <w:rFonts w:ascii="Arial" w:eastAsia="Arial" w:hAnsi="Arial" w:cs="Arial"/>
                <w:b/>
                <w:color w:val="000000"/>
                <w:sz w:val="16"/>
                <w:szCs w:val="16"/>
              </w:rPr>
            </w:pPr>
            <w:r>
              <w:rPr>
                <w:rFonts w:ascii="Arial" w:eastAsia="Arial" w:hAnsi="Arial" w:cs="Arial"/>
                <w:b/>
                <w:sz w:val="16"/>
                <w:szCs w:val="16"/>
              </w:rPr>
              <w:t>$20.000.000.000</w:t>
            </w:r>
          </w:p>
        </w:tc>
        <w:tc>
          <w:tcPr>
            <w:tcW w:w="1410" w:type="dxa"/>
            <w:shd w:val="clear" w:color="auto" w:fill="auto"/>
            <w:vAlign w:val="center"/>
          </w:tcPr>
          <w:p w14:paraId="5380540B" w14:textId="77777777" w:rsidR="00CF2D13" w:rsidRDefault="00EA5C62">
            <w:pPr>
              <w:spacing w:after="0" w:line="240" w:lineRule="auto"/>
              <w:jc w:val="center"/>
              <w:rPr>
                <w:rFonts w:ascii="Arial" w:eastAsia="Arial" w:hAnsi="Arial" w:cs="Arial"/>
                <w:b/>
                <w:sz w:val="16"/>
                <w:szCs w:val="16"/>
              </w:rPr>
            </w:pPr>
            <w:r>
              <w:rPr>
                <w:rFonts w:ascii="Arial" w:eastAsia="Arial" w:hAnsi="Arial" w:cs="Arial"/>
                <w:b/>
                <w:sz w:val="16"/>
                <w:szCs w:val="16"/>
              </w:rPr>
              <w:t>$20.000.000.000</w:t>
            </w:r>
          </w:p>
        </w:tc>
        <w:tc>
          <w:tcPr>
            <w:tcW w:w="975" w:type="dxa"/>
            <w:shd w:val="clear" w:color="auto" w:fill="auto"/>
            <w:vAlign w:val="center"/>
          </w:tcPr>
          <w:p w14:paraId="7D24FD76" w14:textId="77777777" w:rsidR="00CF2D13" w:rsidRDefault="00EA5C62">
            <w:pPr>
              <w:spacing w:after="0" w:line="240" w:lineRule="auto"/>
              <w:jc w:val="center"/>
              <w:rPr>
                <w:rFonts w:ascii="Arial" w:eastAsia="Arial" w:hAnsi="Arial" w:cs="Arial"/>
                <w:b/>
                <w:color w:val="000000"/>
                <w:sz w:val="16"/>
                <w:szCs w:val="16"/>
              </w:rPr>
            </w:pPr>
            <w:r>
              <w:rPr>
                <w:rFonts w:ascii="Arial" w:eastAsia="Arial" w:hAnsi="Arial" w:cs="Arial"/>
                <w:b/>
                <w:sz w:val="16"/>
                <w:szCs w:val="16"/>
              </w:rPr>
              <w:t>100%</w:t>
            </w:r>
          </w:p>
        </w:tc>
        <w:tc>
          <w:tcPr>
            <w:tcW w:w="1365" w:type="dxa"/>
            <w:shd w:val="clear" w:color="auto" w:fill="auto"/>
            <w:vAlign w:val="center"/>
          </w:tcPr>
          <w:p w14:paraId="0F1CA569" w14:textId="77777777" w:rsidR="00CF2D13" w:rsidRDefault="00EA5C62">
            <w:pPr>
              <w:spacing w:after="0" w:line="240" w:lineRule="auto"/>
              <w:jc w:val="center"/>
              <w:rPr>
                <w:rFonts w:ascii="Arial" w:eastAsia="Arial" w:hAnsi="Arial" w:cs="Arial"/>
                <w:b/>
                <w:sz w:val="16"/>
                <w:szCs w:val="16"/>
              </w:rPr>
            </w:pPr>
            <w:r>
              <w:rPr>
                <w:rFonts w:ascii="Arial" w:eastAsia="Arial" w:hAnsi="Arial" w:cs="Arial"/>
                <w:b/>
                <w:sz w:val="16"/>
                <w:szCs w:val="16"/>
              </w:rPr>
              <w:t>$20.000.000.000</w:t>
            </w:r>
          </w:p>
        </w:tc>
        <w:tc>
          <w:tcPr>
            <w:tcW w:w="930" w:type="dxa"/>
            <w:shd w:val="clear" w:color="auto" w:fill="auto"/>
            <w:vAlign w:val="center"/>
          </w:tcPr>
          <w:p w14:paraId="59026544" w14:textId="77777777" w:rsidR="00CF2D13" w:rsidRDefault="00EA5C62">
            <w:pPr>
              <w:spacing w:after="0" w:line="240" w:lineRule="auto"/>
              <w:jc w:val="center"/>
              <w:rPr>
                <w:rFonts w:ascii="Arial" w:eastAsia="Arial" w:hAnsi="Arial" w:cs="Arial"/>
                <w:b/>
                <w:color w:val="000000"/>
                <w:sz w:val="16"/>
                <w:szCs w:val="16"/>
              </w:rPr>
            </w:pPr>
            <w:r>
              <w:rPr>
                <w:rFonts w:ascii="Arial" w:eastAsia="Arial" w:hAnsi="Arial" w:cs="Arial"/>
                <w:b/>
                <w:sz w:val="16"/>
                <w:szCs w:val="16"/>
              </w:rPr>
              <w:t>100%</w:t>
            </w:r>
          </w:p>
        </w:tc>
      </w:tr>
      <w:tr w:rsidR="00CF2D13" w14:paraId="41F67B41" w14:textId="77777777">
        <w:trPr>
          <w:trHeight w:val="315"/>
        </w:trPr>
        <w:tc>
          <w:tcPr>
            <w:tcW w:w="3165" w:type="dxa"/>
            <w:gridSpan w:val="2"/>
            <w:shd w:val="clear" w:color="auto" w:fill="1F4E79"/>
            <w:vAlign w:val="center"/>
          </w:tcPr>
          <w:p w14:paraId="60B671EF" w14:textId="77777777" w:rsidR="00CF2D13" w:rsidRDefault="00EA5C62">
            <w:pPr>
              <w:spacing w:after="0" w:line="240" w:lineRule="auto"/>
              <w:jc w:val="center"/>
              <w:rPr>
                <w:rFonts w:ascii="Arial" w:eastAsia="Arial" w:hAnsi="Arial" w:cs="Arial"/>
                <w:b/>
                <w:color w:val="FFFFFF"/>
                <w:sz w:val="16"/>
                <w:szCs w:val="16"/>
              </w:rPr>
            </w:pPr>
            <w:r>
              <w:rPr>
                <w:rFonts w:ascii="Arial" w:eastAsia="Arial" w:hAnsi="Arial" w:cs="Arial"/>
                <w:b/>
                <w:color w:val="FFFFFF"/>
                <w:sz w:val="16"/>
                <w:szCs w:val="16"/>
              </w:rPr>
              <w:t>Total</w:t>
            </w:r>
          </w:p>
        </w:tc>
        <w:tc>
          <w:tcPr>
            <w:tcW w:w="1350" w:type="dxa"/>
            <w:shd w:val="clear" w:color="auto" w:fill="1F4E79"/>
            <w:vAlign w:val="center"/>
          </w:tcPr>
          <w:p w14:paraId="523DC347" w14:textId="77777777" w:rsidR="00CF2D13" w:rsidRDefault="00CF2D13">
            <w:pPr>
              <w:spacing w:after="0" w:line="240" w:lineRule="auto"/>
              <w:jc w:val="center"/>
              <w:rPr>
                <w:rFonts w:ascii="Arial" w:eastAsia="Arial" w:hAnsi="Arial" w:cs="Arial"/>
                <w:b/>
                <w:color w:val="FFFFFF"/>
                <w:sz w:val="16"/>
                <w:szCs w:val="16"/>
              </w:rPr>
            </w:pPr>
          </w:p>
        </w:tc>
        <w:tc>
          <w:tcPr>
            <w:tcW w:w="1425" w:type="dxa"/>
            <w:shd w:val="clear" w:color="auto" w:fill="1F4E79"/>
            <w:vAlign w:val="center"/>
          </w:tcPr>
          <w:p w14:paraId="26795263" w14:textId="77777777" w:rsidR="00CF2D13" w:rsidRDefault="00CF2D13">
            <w:pPr>
              <w:spacing w:after="0" w:line="240" w:lineRule="auto"/>
              <w:jc w:val="center"/>
              <w:rPr>
                <w:rFonts w:ascii="Arial" w:eastAsia="Arial" w:hAnsi="Arial" w:cs="Arial"/>
                <w:b/>
                <w:color w:val="FFFFFF"/>
                <w:sz w:val="16"/>
                <w:szCs w:val="16"/>
              </w:rPr>
            </w:pPr>
          </w:p>
        </w:tc>
        <w:tc>
          <w:tcPr>
            <w:tcW w:w="1410" w:type="dxa"/>
            <w:shd w:val="clear" w:color="auto" w:fill="1F4E79"/>
            <w:vAlign w:val="center"/>
          </w:tcPr>
          <w:p w14:paraId="175A6068" w14:textId="77777777" w:rsidR="00CF2D13" w:rsidRDefault="00CF2D13">
            <w:pPr>
              <w:spacing w:after="0" w:line="240" w:lineRule="auto"/>
              <w:jc w:val="center"/>
              <w:rPr>
                <w:rFonts w:ascii="Arial" w:eastAsia="Arial" w:hAnsi="Arial" w:cs="Arial"/>
                <w:b/>
                <w:color w:val="FFFFFF"/>
                <w:sz w:val="16"/>
                <w:szCs w:val="16"/>
              </w:rPr>
            </w:pPr>
          </w:p>
        </w:tc>
        <w:tc>
          <w:tcPr>
            <w:tcW w:w="975" w:type="dxa"/>
            <w:shd w:val="clear" w:color="auto" w:fill="1F4E79"/>
            <w:vAlign w:val="center"/>
          </w:tcPr>
          <w:p w14:paraId="0131315A" w14:textId="77777777" w:rsidR="00CF2D13" w:rsidRDefault="00CF2D13">
            <w:pPr>
              <w:spacing w:after="0" w:line="240" w:lineRule="auto"/>
              <w:jc w:val="center"/>
              <w:rPr>
                <w:rFonts w:ascii="Arial" w:eastAsia="Arial" w:hAnsi="Arial" w:cs="Arial"/>
                <w:b/>
                <w:color w:val="FFFFFF"/>
                <w:sz w:val="16"/>
                <w:szCs w:val="16"/>
              </w:rPr>
            </w:pPr>
          </w:p>
        </w:tc>
        <w:tc>
          <w:tcPr>
            <w:tcW w:w="1365" w:type="dxa"/>
            <w:shd w:val="clear" w:color="auto" w:fill="1F4E79"/>
            <w:vAlign w:val="center"/>
          </w:tcPr>
          <w:p w14:paraId="573F0CAE" w14:textId="77777777" w:rsidR="00CF2D13" w:rsidRDefault="00CF2D13">
            <w:pPr>
              <w:spacing w:after="0" w:line="240" w:lineRule="auto"/>
              <w:jc w:val="center"/>
              <w:rPr>
                <w:rFonts w:ascii="Arial" w:eastAsia="Arial" w:hAnsi="Arial" w:cs="Arial"/>
                <w:b/>
                <w:color w:val="FFFFFF"/>
                <w:sz w:val="16"/>
                <w:szCs w:val="16"/>
              </w:rPr>
            </w:pPr>
          </w:p>
        </w:tc>
        <w:tc>
          <w:tcPr>
            <w:tcW w:w="930" w:type="dxa"/>
            <w:shd w:val="clear" w:color="auto" w:fill="1F4E79"/>
            <w:vAlign w:val="center"/>
          </w:tcPr>
          <w:p w14:paraId="28D657E3" w14:textId="77777777" w:rsidR="00CF2D13" w:rsidRDefault="00CF2D13">
            <w:pPr>
              <w:spacing w:after="0" w:line="240" w:lineRule="auto"/>
              <w:jc w:val="center"/>
              <w:rPr>
                <w:rFonts w:ascii="Arial" w:eastAsia="Arial" w:hAnsi="Arial" w:cs="Arial"/>
                <w:b/>
                <w:color w:val="FFFFFF"/>
                <w:sz w:val="16"/>
                <w:szCs w:val="16"/>
              </w:rPr>
            </w:pPr>
          </w:p>
        </w:tc>
      </w:tr>
    </w:tbl>
    <w:p w14:paraId="27E333A6" w14:textId="77777777" w:rsidR="00CF2D13" w:rsidRDefault="00EA5C62">
      <w:pPr>
        <w:spacing w:after="0" w:line="240" w:lineRule="auto"/>
        <w:ind w:left="-567"/>
        <w:jc w:val="both"/>
        <w:rPr>
          <w:rFonts w:ascii="Arial" w:eastAsia="Arial" w:hAnsi="Arial" w:cs="Arial"/>
          <w:sz w:val="16"/>
          <w:szCs w:val="16"/>
        </w:rPr>
      </w:pPr>
      <w:r>
        <w:rPr>
          <w:rFonts w:ascii="Arial" w:eastAsia="Arial" w:hAnsi="Arial" w:cs="Arial"/>
          <w:sz w:val="16"/>
          <w:szCs w:val="16"/>
        </w:rPr>
        <w:t xml:space="preserve">Fuente: </w:t>
      </w:r>
    </w:p>
    <w:p w14:paraId="52412246" w14:textId="77777777" w:rsidR="00CF2D13" w:rsidRDefault="00CF2D13">
      <w:pPr>
        <w:spacing w:after="0" w:line="240" w:lineRule="auto"/>
        <w:jc w:val="both"/>
        <w:rPr>
          <w:rFonts w:ascii="Arial" w:eastAsia="Arial" w:hAnsi="Arial" w:cs="Arial"/>
          <w:sz w:val="16"/>
          <w:szCs w:val="16"/>
        </w:rPr>
      </w:pPr>
    </w:p>
    <w:p w14:paraId="27CCAF66" w14:textId="77777777" w:rsidR="00CF2D13" w:rsidRDefault="00EA5C62">
      <w:pPr>
        <w:spacing w:after="0" w:line="240" w:lineRule="auto"/>
        <w:jc w:val="both"/>
        <w:rPr>
          <w:rFonts w:ascii="Arial" w:eastAsia="Arial" w:hAnsi="Arial" w:cs="Arial"/>
          <w:sz w:val="16"/>
          <w:szCs w:val="16"/>
        </w:rPr>
      </w:pPr>
      <w:r>
        <w:rPr>
          <w:rFonts w:ascii="Arial" w:eastAsia="Arial" w:hAnsi="Arial" w:cs="Arial"/>
          <w:sz w:val="16"/>
          <w:szCs w:val="16"/>
        </w:rPr>
        <w:t>1 Relacionar código BIPIN y descripción del nombre del proyecto</w:t>
      </w:r>
    </w:p>
    <w:p w14:paraId="727198F8" w14:textId="77777777" w:rsidR="00CF2D13" w:rsidRDefault="00EA5C62">
      <w:pPr>
        <w:spacing w:after="0" w:line="240" w:lineRule="auto"/>
        <w:jc w:val="both"/>
        <w:rPr>
          <w:rFonts w:ascii="Arial" w:eastAsia="Arial" w:hAnsi="Arial" w:cs="Arial"/>
          <w:sz w:val="16"/>
          <w:szCs w:val="16"/>
        </w:rPr>
      </w:pPr>
      <w:r>
        <w:rPr>
          <w:rFonts w:ascii="Arial" w:eastAsia="Arial" w:hAnsi="Arial" w:cs="Arial"/>
          <w:sz w:val="16"/>
          <w:szCs w:val="16"/>
        </w:rPr>
        <w:t>2 Ejemplo: Construcción/adecuación colegio 1.</w:t>
      </w:r>
    </w:p>
    <w:p w14:paraId="0B0655C9" w14:textId="77777777" w:rsidR="00CF2D13" w:rsidRDefault="00CF2D13">
      <w:pPr>
        <w:spacing w:after="0" w:line="240" w:lineRule="auto"/>
        <w:jc w:val="both"/>
        <w:rPr>
          <w:rFonts w:ascii="Arial" w:eastAsia="Arial" w:hAnsi="Arial" w:cs="Arial"/>
          <w:sz w:val="16"/>
          <w:szCs w:val="16"/>
        </w:rPr>
      </w:pPr>
    </w:p>
    <w:p w14:paraId="0D15C4E2" w14:textId="77777777" w:rsidR="00CF2D13" w:rsidRDefault="00EA5C62">
      <w:pPr>
        <w:spacing w:line="240" w:lineRule="auto"/>
        <w:jc w:val="both"/>
        <w:rPr>
          <w:rFonts w:ascii="Arial" w:eastAsia="Arial" w:hAnsi="Arial" w:cs="Arial"/>
          <w:b/>
          <w:sz w:val="18"/>
          <w:szCs w:val="18"/>
        </w:rPr>
      </w:pPr>
      <w:r>
        <w:rPr>
          <w:rFonts w:ascii="Arial" w:eastAsia="Arial" w:hAnsi="Arial" w:cs="Arial"/>
          <w:sz w:val="18"/>
          <w:szCs w:val="18"/>
        </w:rPr>
        <w:t>Nota: Incluir las filas que sean necesarias</w:t>
      </w:r>
      <w:r>
        <w:rPr>
          <w:rFonts w:ascii="Arial" w:eastAsia="Arial" w:hAnsi="Arial" w:cs="Arial"/>
          <w:b/>
          <w:sz w:val="18"/>
          <w:szCs w:val="18"/>
        </w:rPr>
        <w:t>.</w:t>
      </w:r>
    </w:p>
    <w:p w14:paraId="172EC2CF" w14:textId="77777777" w:rsidR="00CF2D13" w:rsidRDefault="00CF2D13">
      <w:pPr>
        <w:jc w:val="both"/>
        <w:rPr>
          <w:rFonts w:ascii="Arial" w:eastAsia="Arial" w:hAnsi="Arial" w:cs="Arial"/>
        </w:rPr>
      </w:pPr>
    </w:p>
    <w:p w14:paraId="77F43538" w14:textId="77777777" w:rsidR="00CF2D13" w:rsidRDefault="00EA5C62">
      <w:pPr>
        <w:pBdr>
          <w:bottom w:val="single" w:sz="4" w:space="1" w:color="000000"/>
        </w:pBdr>
        <w:jc w:val="right"/>
        <w:rPr>
          <w:rFonts w:ascii="Arial" w:eastAsia="Arial" w:hAnsi="Arial" w:cs="Arial"/>
          <w:b/>
        </w:rPr>
      </w:pPr>
      <w:r>
        <w:rPr>
          <w:rFonts w:ascii="Arial" w:eastAsia="Arial" w:hAnsi="Arial" w:cs="Arial"/>
          <w:b/>
        </w:rPr>
        <w:t>IMPACTO SOCIAL</w:t>
      </w:r>
    </w:p>
    <w:p w14:paraId="6EAAA41F" w14:textId="77777777" w:rsidR="00CF2D13" w:rsidRDefault="00EA5C62">
      <w:pPr>
        <w:spacing w:after="0" w:line="276" w:lineRule="auto"/>
        <w:jc w:val="center"/>
        <w:rPr>
          <w:rFonts w:ascii="Arial" w:eastAsia="Arial" w:hAnsi="Arial" w:cs="Arial"/>
        </w:rPr>
      </w:pPr>
      <w:r>
        <w:rPr>
          <w:rFonts w:ascii="Arial" w:eastAsia="Arial" w:hAnsi="Arial" w:cs="Arial"/>
        </w:rPr>
        <w:t>Cuadro N° 2: Impacto Social</w:t>
      </w:r>
    </w:p>
    <w:p w14:paraId="23671FFE" w14:textId="77777777" w:rsidR="00CF2D13" w:rsidRDefault="00EA5C62">
      <w:pPr>
        <w:spacing w:after="0" w:line="276" w:lineRule="auto"/>
        <w:jc w:val="center"/>
        <w:rPr>
          <w:rFonts w:ascii="Arial" w:eastAsia="Arial" w:hAnsi="Arial" w:cs="Arial"/>
        </w:rPr>
      </w:pPr>
      <w:r>
        <w:rPr>
          <w:rFonts w:ascii="Arial" w:eastAsia="Arial" w:hAnsi="Arial" w:cs="Arial"/>
        </w:rPr>
        <w:t>Proyecto 7922</w:t>
      </w:r>
    </w:p>
    <w:p w14:paraId="464307F3" w14:textId="77777777" w:rsidR="00CF2D13" w:rsidRDefault="00EA5C62">
      <w:pPr>
        <w:spacing w:after="0" w:line="276" w:lineRule="auto"/>
        <w:jc w:val="center"/>
        <w:rPr>
          <w:rFonts w:ascii="Arial" w:eastAsia="Arial" w:hAnsi="Arial" w:cs="Arial"/>
          <w:sz w:val="20"/>
          <w:szCs w:val="20"/>
        </w:rPr>
      </w:pPr>
      <w:r>
        <w:rPr>
          <w:rFonts w:ascii="Arial" w:eastAsia="Arial" w:hAnsi="Arial" w:cs="Arial"/>
          <w:sz w:val="20"/>
          <w:szCs w:val="20"/>
        </w:rPr>
        <w:t>Corte 30 de septiembre 2025</w:t>
      </w:r>
    </w:p>
    <w:p w14:paraId="1494C35B" w14:textId="77777777" w:rsidR="00CF2D13" w:rsidRDefault="00EA5C62">
      <w:pPr>
        <w:spacing w:after="0" w:line="276" w:lineRule="auto"/>
        <w:jc w:val="center"/>
        <w:rPr>
          <w:rFonts w:ascii="Arial" w:eastAsia="Arial" w:hAnsi="Arial" w:cs="Arial"/>
          <w:b/>
          <w:color w:val="FF0000"/>
        </w:rPr>
      </w:pPr>
      <w:r>
        <w:rPr>
          <w:rFonts w:ascii="Arial" w:eastAsia="Arial" w:hAnsi="Arial" w:cs="Arial"/>
          <w:b/>
          <w:color w:val="FF0000"/>
        </w:rPr>
        <w:t xml:space="preserve"> </w:t>
      </w:r>
    </w:p>
    <w:p w14:paraId="2A1737E0" w14:textId="77777777" w:rsidR="00CF2D13" w:rsidRDefault="00EA5C62">
      <w:pPr>
        <w:spacing w:after="0" w:line="276" w:lineRule="auto"/>
        <w:jc w:val="both"/>
        <w:rPr>
          <w:rFonts w:ascii="Arial" w:eastAsia="Arial" w:hAnsi="Arial" w:cs="Arial"/>
          <w:i/>
        </w:rPr>
      </w:pPr>
      <w:r>
        <w:rPr>
          <w:rFonts w:ascii="Arial" w:eastAsia="Arial" w:hAnsi="Arial" w:cs="Arial"/>
        </w:rPr>
        <w:t>El proyecto Bronx Distrito Creativo (BDC) se desarrolla a través del Convenio Marco 124/364 de 2018 suscrito entre la Empresa de Renovación y Desarrollo Urbano de Bogotá (RENOBO) y la Fundación Gilberto Álzate Avendaño (FUGA) el 11 de octubre de 2018. Para</w:t>
      </w:r>
      <w:r>
        <w:rPr>
          <w:rFonts w:ascii="Arial" w:eastAsia="Arial" w:hAnsi="Arial" w:cs="Arial"/>
        </w:rPr>
        <w:t xml:space="preserve"> el desarrollo de este, el 6 de diciembre de 2019, la FUGA y RENOBO celebraron el Convenio Interadministrativo Derivado 164 de 2019 con el objeto de “</w:t>
      </w:r>
      <w:r>
        <w:rPr>
          <w:rFonts w:ascii="Arial" w:eastAsia="Arial" w:hAnsi="Arial" w:cs="Arial"/>
          <w:i/>
        </w:rPr>
        <w:t>Aunar esfuerzos técnicos, administrativos, financieros y económicos para el desarrollo de todas las activi</w:t>
      </w:r>
      <w:r>
        <w:rPr>
          <w:rFonts w:ascii="Arial" w:eastAsia="Arial" w:hAnsi="Arial" w:cs="Arial"/>
          <w:i/>
        </w:rPr>
        <w:t>dades necesarias para la construcción del Proyecto “Bronx Distrito Creativo – BDC”</w:t>
      </w:r>
    </w:p>
    <w:p w14:paraId="57C76098"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16D1875B" w14:textId="42EAD565" w:rsidR="00CF2D13" w:rsidRDefault="00EA5C62">
      <w:pPr>
        <w:spacing w:after="0" w:line="276" w:lineRule="auto"/>
        <w:jc w:val="both"/>
        <w:rPr>
          <w:rFonts w:ascii="Arial" w:eastAsia="Arial" w:hAnsi="Arial" w:cs="Arial"/>
        </w:rPr>
      </w:pPr>
      <w:r>
        <w:rPr>
          <w:rFonts w:ascii="Arial" w:eastAsia="Arial" w:hAnsi="Arial" w:cs="Arial"/>
        </w:rPr>
        <w:t xml:space="preserve">En ese marco, RENOBO, en calidad de fideicomitente gestor, constituyó el Patrimonio Autónomo Derivado Bronx Distrito Creativo – PAD-BDC el 21 de diciembre de 2018, </w:t>
      </w:r>
      <w:r>
        <w:rPr>
          <w:rFonts w:ascii="Arial" w:eastAsia="Arial" w:hAnsi="Arial" w:cs="Arial"/>
        </w:rPr>
        <w:lastRenderedPageBreak/>
        <w:t>mediant</w:t>
      </w:r>
      <w:r>
        <w:rPr>
          <w:rFonts w:ascii="Arial" w:eastAsia="Arial" w:hAnsi="Arial" w:cs="Arial"/>
        </w:rPr>
        <w:t xml:space="preserve">e contrato de fiducia mercantil de administración y pagos suscrito con Alianza Fiduciaria S.A., quien actúa como vocera del </w:t>
      </w:r>
      <w:r w:rsidR="009C3D3C">
        <w:rPr>
          <w:rFonts w:ascii="Arial" w:eastAsia="Arial" w:hAnsi="Arial" w:cs="Arial"/>
        </w:rPr>
        <w:t>mismo.</w:t>
      </w:r>
      <w:r>
        <w:rPr>
          <w:rFonts w:ascii="Arial" w:eastAsia="Arial" w:hAnsi="Arial" w:cs="Arial"/>
        </w:rPr>
        <w:t xml:space="preserve"> Posteriormente, en cumplimiento de lo previsto en la cláusula quinta, numeral 4, literal b, del Convenio Derivado No. 164 de</w:t>
      </w:r>
      <w:r>
        <w:rPr>
          <w:rFonts w:ascii="Arial" w:eastAsia="Arial" w:hAnsi="Arial" w:cs="Arial"/>
        </w:rPr>
        <w:t xml:space="preserve"> 2019, RENOBO procedió a modificar dicho contrato fiduciario para incorporar a la Fundación Gilberto Alzate Avendaño –FUGA– como beneficiaria de todas las mejoras, beneficios, activos y excedentes del fideicomiso.</w:t>
      </w:r>
    </w:p>
    <w:p w14:paraId="7F426341"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30E6B378" w14:textId="77777777" w:rsidR="00CF2D13" w:rsidRDefault="00EA5C62">
      <w:pPr>
        <w:spacing w:after="0" w:line="276" w:lineRule="auto"/>
        <w:jc w:val="both"/>
        <w:rPr>
          <w:rFonts w:ascii="Arial" w:eastAsia="Arial" w:hAnsi="Arial" w:cs="Arial"/>
        </w:rPr>
      </w:pPr>
      <w:r>
        <w:rPr>
          <w:rFonts w:ascii="Arial" w:eastAsia="Arial" w:hAnsi="Arial" w:cs="Arial"/>
        </w:rPr>
        <w:t>En desarrollo de este esquema fiduciario</w:t>
      </w:r>
      <w:r>
        <w:rPr>
          <w:rFonts w:ascii="Arial" w:eastAsia="Arial" w:hAnsi="Arial" w:cs="Arial"/>
        </w:rPr>
        <w:t xml:space="preserve">, toda los recursos aportados por la FUGA al Convenio Derivado 164 para ejecución del Proyecto Bronx Distrito Creativo se gestionan por Alianza Fiduciaria S.A., en su calidad de contratante, y la contratación derivada está bajo la supervisión y control de </w:t>
      </w:r>
      <w:r>
        <w:rPr>
          <w:rFonts w:ascii="Arial" w:eastAsia="Arial" w:hAnsi="Arial" w:cs="Arial"/>
        </w:rPr>
        <w:t>RENOBO en razón de su experticia y de su calidad de fideicomitente gestor del Patrimonio Autónomo Derivado, conforme a las directrices del Comité Fiduciario y a los compromisos derivados del Convenio Derivado 164 de 2019.</w:t>
      </w:r>
    </w:p>
    <w:p w14:paraId="1D7FCA01"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4A753FCF" w14:textId="77777777" w:rsidR="00CF2D13" w:rsidRDefault="00EA5C62">
      <w:pPr>
        <w:spacing w:after="0" w:line="276" w:lineRule="auto"/>
        <w:jc w:val="both"/>
        <w:rPr>
          <w:rFonts w:ascii="Arial" w:eastAsia="Arial" w:hAnsi="Arial" w:cs="Arial"/>
        </w:rPr>
      </w:pPr>
      <w:r>
        <w:rPr>
          <w:rFonts w:ascii="Arial" w:eastAsia="Arial" w:hAnsi="Arial" w:cs="Arial"/>
        </w:rPr>
        <w:t>Establecido lo anterior, el Bron</w:t>
      </w:r>
      <w:r>
        <w:rPr>
          <w:rFonts w:ascii="Arial" w:eastAsia="Arial" w:hAnsi="Arial" w:cs="Arial"/>
        </w:rPr>
        <w:t>x Distrito Creativo (BDC) fue concebido y estructurado, desde su génesis, como un proyecto integral de transformación urbana, social y económica, en el cual las diferentes fases constructivas —Etapa 1 (Facultad, Flauta, Milla y Plazoleta Caracas) y Etapa 2</w:t>
      </w:r>
      <w:r>
        <w:rPr>
          <w:rFonts w:ascii="Arial" w:eastAsia="Arial" w:hAnsi="Arial" w:cs="Arial"/>
        </w:rPr>
        <w:t xml:space="preserve"> (Esquina Redonda, Sótanos de Parqueaderos y Superficie Temporal)— no pueden analizarse de forma aislada, pues convergen en un mismo objetivo de desarrollo socioeconómico y cultural definido desde su estructuración técnica y financiera.</w:t>
      </w:r>
    </w:p>
    <w:p w14:paraId="0F1DD1ED" w14:textId="77777777" w:rsidR="00CF2D13" w:rsidRDefault="00CF2D13">
      <w:pPr>
        <w:spacing w:after="0" w:line="276" w:lineRule="auto"/>
        <w:jc w:val="both"/>
        <w:rPr>
          <w:rFonts w:ascii="Arial" w:eastAsia="Arial" w:hAnsi="Arial" w:cs="Arial"/>
        </w:rPr>
      </w:pPr>
    </w:p>
    <w:p w14:paraId="060B2FE4" w14:textId="77777777" w:rsidR="00CF2D13" w:rsidRDefault="00EA5C62">
      <w:pPr>
        <w:spacing w:after="0" w:line="276" w:lineRule="auto"/>
        <w:jc w:val="both"/>
        <w:rPr>
          <w:rFonts w:ascii="Arial" w:eastAsia="Arial" w:hAnsi="Arial" w:cs="Arial"/>
        </w:rPr>
      </w:pPr>
      <w:r>
        <w:rPr>
          <w:rFonts w:ascii="Arial" w:eastAsia="Arial" w:hAnsi="Arial" w:cs="Arial"/>
        </w:rPr>
        <w:t>En cuanto a la Eta</w:t>
      </w:r>
      <w:r>
        <w:rPr>
          <w:rFonts w:ascii="Arial" w:eastAsia="Arial" w:hAnsi="Arial" w:cs="Arial"/>
        </w:rPr>
        <w:t>pa 1, esta se desarrolla a través del contrato PAD-BDC-020 de 2022. Con corte a 30 de septiembre de 2025, alcanzó un 85,93% ejecutado conforme a la metodología de "Curva S", la cual integra el progreso físico y financiero.</w:t>
      </w:r>
    </w:p>
    <w:p w14:paraId="7638F98B" w14:textId="77777777" w:rsidR="00CF2D13" w:rsidRDefault="00EA5C62">
      <w:pPr>
        <w:spacing w:after="0" w:line="276" w:lineRule="auto"/>
        <w:jc w:val="both"/>
        <w:rPr>
          <w:rFonts w:ascii="Arial" w:eastAsia="Arial" w:hAnsi="Arial" w:cs="Arial"/>
          <w:b/>
          <w:color w:val="FF0000"/>
        </w:rPr>
      </w:pPr>
      <w:r>
        <w:rPr>
          <w:rFonts w:ascii="Arial" w:eastAsia="Arial" w:hAnsi="Arial" w:cs="Arial"/>
          <w:b/>
          <w:color w:val="FF0000"/>
        </w:rPr>
        <w:t xml:space="preserve"> </w:t>
      </w:r>
    </w:p>
    <w:p w14:paraId="02CA40C9" w14:textId="61585D10" w:rsidR="00CF2D13" w:rsidRDefault="00EA5C62">
      <w:pPr>
        <w:spacing w:after="0" w:line="276" w:lineRule="auto"/>
        <w:jc w:val="both"/>
        <w:rPr>
          <w:rFonts w:ascii="Arial" w:eastAsia="Arial" w:hAnsi="Arial" w:cs="Arial"/>
        </w:rPr>
      </w:pPr>
      <w:r>
        <w:rPr>
          <w:rFonts w:ascii="Arial" w:eastAsia="Arial" w:hAnsi="Arial" w:cs="Arial"/>
        </w:rPr>
        <w:t>Respecto de la Etapa 2 —que inc</w:t>
      </w:r>
      <w:r>
        <w:rPr>
          <w:rFonts w:ascii="Arial" w:eastAsia="Arial" w:hAnsi="Arial" w:cs="Arial"/>
        </w:rPr>
        <w:t>luye la Esquina Redonda, los sótanos de parqueaderos y la superficie temporal del primer piso</w:t>
      </w:r>
      <w:r w:rsidR="009C3D3C">
        <w:rPr>
          <w:rFonts w:ascii="Arial" w:eastAsia="Arial" w:hAnsi="Arial" w:cs="Arial"/>
        </w:rPr>
        <w:t>— se</w:t>
      </w:r>
      <w:r>
        <w:rPr>
          <w:rFonts w:ascii="Arial" w:eastAsia="Arial" w:hAnsi="Arial" w:cs="Arial"/>
        </w:rPr>
        <w:t xml:space="preserve"> precisa que </w:t>
      </w:r>
      <w:r w:rsidR="009C3D3C">
        <w:rPr>
          <w:rFonts w:ascii="Arial" w:eastAsia="Arial" w:hAnsi="Arial" w:cs="Arial"/>
        </w:rPr>
        <w:t>está</w:t>
      </w:r>
      <w:r>
        <w:rPr>
          <w:rFonts w:ascii="Arial" w:eastAsia="Arial" w:hAnsi="Arial" w:cs="Arial"/>
        </w:rPr>
        <w:t xml:space="preserve"> aún no ha iniciado ejecución, ya que RENOBO adelanta los procesos de selección del contratista de obra (RENOBO-IP-06-2025) y de interventorí</w:t>
      </w:r>
      <w:r>
        <w:rPr>
          <w:rFonts w:ascii="Arial" w:eastAsia="Arial" w:hAnsi="Arial" w:cs="Arial"/>
        </w:rPr>
        <w:t>a (RENOBO-IS-04-2025)</w:t>
      </w:r>
    </w:p>
    <w:p w14:paraId="24241917"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17E3586F" w14:textId="77777777" w:rsidR="00CF2D13" w:rsidRDefault="00EA5C62">
      <w:pPr>
        <w:spacing w:after="0" w:line="276" w:lineRule="auto"/>
        <w:jc w:val="both"/>
        <w:rPr>
          <w:rFonts w:ascii="Arial" w:eastAsia="Arial" w:hAnsi="Arial" w:cs="Arial"/>
        </w:rPr>
      </w:pPr>
      <w:r>
        <w:rPr>
          <w:rFonts w:ascii="Arial" w:eastAsia="Arial" w:hAnsi="Arial" w:cs="Arial"/>
        </w:rPr>
        <w:t xml:space="preserve">Al corte de septiembre de 2025 la Etapa 2 del BDC no ha iniciado ejecución física ni financiera. En consecuencia, los impactos sociales y económicos directos se reportarán a partir del inicio efectivo de obra, de conformidad con el </w:t>
      </w:r>
      <w:r>
        <w:rPr>
          <w:rFonts w:ascii="Arial" w:eastAsia="Arial" w:hAnsi="Arial" w:cs="Arial"/>
        </w:rPr>
        <w:t>cronograma que a continuación se presenta.</w:t>
      </w:r>
    </w:p>
    <w:p w14:paraId="07C452F9"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11AFDA39"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2253864A" w14:textId="77777777" w:rsidR="00CF2D13" w:rsidRDefault="00EA5C62">
      <w:pPr>
        <w:spacing w:after="0" w:line="276" w:lineRule="auto"/>
        <w:jc w:val="both"/>
        <w:rPr>
          <w:rFonts w:ascii="Arial" w:eastAsia="Arial" w:hAnsi="Arial" w:cs="Arial"/>
          <w:b/>
        </w:rPr>
      </w:pPr>
      <w:r>
        <w:rPr>
          <w:rFonts w:ascii="Arial" w:eastAsia="Arial" w:hAnsi="Arial" w:cs="Arial"/>
          <w:b/>
        </w:rPr>
        <w:t>Proceso de selección contratista de obra: RENOB0-IP-06-2025</w:t>
      </w:r>
    </w:p>
    <w:p w14:paraId="79538697"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145F5A86" w14:textId="77777777" w:rsidR="00CF2D13" w:rsidRDefault="00EA5C62">
      <w:pPr>
        <w:spacing w:after="0" w:line="276" w:lineRule="auto"/>
        <w:jc w:val="both"/>
        <w:rPr>
          <w:rFonts w:ascii="Arial" w:eastAsia="Arial" w:hAnsi="Arial" w:cs="Arial"/>
        </w:rPr>
      </w:pPr>
      <w:r>
        <w:rPr>
          <w:rFonts w:ascii="Arial" w:eastAsia="Arial" w:hAnsi="Arial" w:cs="Arial"/>
        </w:rPr>
        <w:t xml:space="preserve">El objeto del contrato de obra consiste en ejecutar, por el sistema de precios unitarios sin fórmula de reajuste, la intervención integral del Módulo Creativo Dos (MC2) del proyecto </w:t>
      </w:r>
      <w:r>
        <w:rPr>
          <w:rFonts w:ascii="Arial" w:eastAsia="Arial" w:hAnsi="Arial" w:cs="Arial"/>
        </w:rPr>
        <w:lastRenderedPageBreak/>
        <w:t>Bronx Distrito Creativo (BDC), ubicado en la localidad de Los Mártires, ba</w:t>
      </w:r>
      <w:r>
        <w:rPr>
          <w:rFonts w:ascii="Arial" w:eastAsia="Arial" w:hAnsi="Arial" w:cs="Arial"/>
        </w:rPr>
        <w:t>rrio Voto Nacional, Bogotá D.C.</w:t>
      </w:r>
    </w:p>
    <w:p w14:paraId="29209056"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614DFBEC" w14:textId="77777777" w:rsidR="00CF2D13" w:rsidRDefault="00EA5C62">
      <w:pPr>
        <w:spacing w:after="0" w:line="276" w:lineRule="auto"/>
        <w:jc w:val="both"/>
        <w:rPr>
          <w:rFonts w:ascii="Arial" w:eastAsia="Arial" w:hAnsi="Arial" w:cs="Arial"/>
        </w:rPr>
      </w:pPr>
      <w:r>
        <w:rPr>
          <w:rFonts w:ascii="Arial" w:eastAsia="Arial" w:hAnsi="Arial" w:cs="Arial"/>
        </w:rPr>
        <w:t>El alcance definido en los términos de referencia publicados el 12 de agosto de 2025, de conformidad con la decisión adoptada en comité operativo No. 83, del 05 de agosto de 2025, comprende:</w:t>
      </w:r>
    </w:p>
    <w:p w14:paraId="07C66DEC"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62739A66" w14:textId="77777777" w:rsidR="00CF2D13" w:rsidRDefault="00EA5C62">
      <w:pPr>
        <w:numPr>
          <w:ilvl w:val="0"/>
          <w:numId w:val="6"/>
        </w:numPr>
        <w:spacing w:after="0" w:line="276" w:lineRule="auto"/>
        <w:jc w:val="both"/>
      </w:pPr>
      <w:r>
        <w:rPr>
          <w:rFonts w:ascii="Arial" w:eastAsia="Arial" w:hAnsi="Arial" w:cs="Arial"/>
        </w:rPr>
        <w:t>Sótano de parqueaderos.</w:t>
      </w:r>
    </w:p>
    <w:p w14:paraId="07F72695" w14:textId="77777777" w:rsidR="00CF2D13" w:rsidRDefault="00EA5C62">
      <w:pPr>
        <w:numPr>
          <w:ilvl w:val="0"/>
          <w:numId w:val="6"/>
        </w:numPr>
        <w:spacing w:after="0" w:line="276" w:lineRule="auto"/>
        <w:jc w:val="both"/>
      </w:pPr>
      <w:r>
        <w:rPr>
          <w:rFonts w:ascii="Arial" w:eastAsia="Arial" w:hAnsi="Arial" w:cs="Arial"/>
        </w:rPr>
        <w:t>Plazo</w:t>
      </w:r>
      <w:r>
        <w:rPr>
          <w:rFonts w:ascii="Arial" w:eastAsia="Arial" w:hAnsi="Arial" w:cs="Arial"/>
        </w:rPr>
        <w:t>leta.</w:t>
      </w:r>
    </w:p>
    <w:p w14:paraId="2F8FC858" w14:textId="77777777" w:rsidR="00CF2D13" w:rsidRDefault="00EA5C62">
      <w:pPr>
        <w:numPr>
          <w:ilvl w:val="0"/>
          <w:numId w:val="6"/>
        </w:numPr>
        <w:spacing w:after="0" w:line="276" w:lineRule="auto"/>
        <w:jc w:val="both"/>
      </w:pPr>
      <w:r>
        <w:rPr>
          <w:rFonts w:ascii="Arial" w:eastAsia="Arial" w:hAnsi="Arial" w:cs="Arial"/>
        </w:rPr>
        <w:t>Punto fijo de ascensores.</w:t>
      </w:r>
    </w:p>
    <w:p w14:paraId="3A05A3DF"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056C7BEE" w14:textId="77777777" w:rsidR="00CF2D13" w:rsidRDefault="00EA5C62">
      <w:pPr>
        <w:spacing w:after="0" w:line="276" w:lineRule="auto"/>
        <w:jc w:val="both"/>
        <w:rPr>
          <w:rFonts w:ascii="Arial" w:eastAsia="Arial" w:hAnsi="Arial" w:cs="Arial"/>
        </w:rPr>
      </w:pPr>
      <w:r>
        <w:rPr>
          <w:rFonts w:ascii="Arial" w:eastAsia="Arial" w:hAnsi="Arial" w:cs="Arial"/>
        </w:rPr>
        <w:t xml:space="preserve">El presupuesto total asciende a </w:t>
      </w:r>
      <w:r>
        <w:rPr>
          <w:rFonts w:ascii="Arial" w:eastAsia="Arial" w:hAnsi="Arial" w:cs="Arial"/>
          <w:b/>
        </w:rPr>
        <w:t>$44.286.809.066</w:t>
      </w:r>
      <w:r>
        <w:rPr>
          <w:rFonts w:ascii="Arial" w:eastAsia="Arial" w:hAnsi="Arial" w:cs="Arial"/>
        </w:rPr>
        <w:t>, discriminado así:</w:t>
      </w:r>
    </w:p>
    <w:p w14:paraId="2DDB0BBD"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475E26EE" w14:textId="77777777" w:rsidR="00CF2D13" w:rsidRDefault="00EA5C62">
      <w:pPr>
        <w:numPr>
          <w:ilvl w:val="0"/>
          <w:numId w:val="2"/>
        </w:numPr>
        <w:spacing w:after="0" w:line="276" w:lineRule="auto"/>
        <w:jc w:val="both"/>
      </w:pPr>
      <w:r>
        <w:rPr>
          <w:rFonts w:ascii="Arial" w:eastAsia="Arial" w:hAnsi="Arial" w:cs="Arial"/>
          <w:b/>
        </w:rPr>
        <w:t>Sótano de parqueaderos:</w:t>
      </w:r>
      <w:r>
        <w:rPr>
          <w:rFonts w:ascii="Arial" w:eastAsia="Arial" w:hAnsi="Arial" w:cs="Arial"/>
        </w:rPr>
        <w:t xml:space="preserve"> $31.605.113.077.</w:t>
      </w:r>
    </w:p>
    <w:p w14:paraId="02084711" w14:textId="77777777" w:rsidR="00CF2D13" w:rsidRDefault="00EA5C62">
      <w:pPr>
        <w:numPr>
          <w:ilvl w:val="0"/>
          <w:numId w:val="2"/>
        </w:numPr>
        <w:spacing w:after="0" w:line="276" w:lineRule="auto"/>
        <w:jc w:val="both"/>
      </w:pPr>
      <w:r>
        <w:rPr>
          <w:rFonts w:ascii="Arial" w:eastAsia="Arial" w:hAnsi="Arial" w:cs="Arial"/>
          <w:b/>
        </w:rPr>
        <w:t>Plazoleta:</w:t>
      </w:r>
      <w:r>
        <w:rPr>
          <w:rFonts w:ascii="Arial" w:eastAsia="Arial" w:hAnsi="Arial" w:cs="Arial"/>
        </w:rPr>
        <w:t xml:space="preserve"> $1.395.508.914.</w:t>
      </w:r>
    </w:p>
    <w:p w14:paraId="129AF90C" w14:textId="77777777" w:rsidR="00CF2D13" w:rsidRDefault="00EA5C62">
      <w:pPr>
        <w:numPr>
          <w:ilvl w:val="0"/>
          <w:numId w:val="2"/>
        </w:numPr>
        <w:spacing w:after="0" w:line="276" w:lineRule="auto"/>
        <w:jc w:val="both"/>
      </w:pPr>
      <w:r>
        <w:rPr>
          <w:rFonts w:ascii="Arial" w:eastAsia="Arial" w:hAnsi="Arial" w:cs="Arial"/>
          <w:b/>
        </w:rPr>
        <w:t xml:space="preserve">Punto fijo de ascensores: </w:t>
      </w:r>
      <w:r>
        <w:rPr>
          <w:rFonts w:ascii="Arial" w:eastAsia="Arial" w:hAnsi="Arial" w:cs="Arial"/>
        </w:rPr>
        <w:t>$1.570.034.915.</w:t>
      </w:r>
    </w:p>
    <w:p w14:paraId="5E50F8BB" w14:textId="77777777" w:rsidR="00CF2D13" w:rsidRDefault="00EA5C62">
      <w:pPr>
        <w:numPr>
          <w:ilvl w:val="0"/>
          <w:numId w:val="2"/>
        </w:numPr>
        <w:spacing w:after="0" w:line="276" w:lineRule="auto"/>
        <w:jc w:val="both"/>
      </w:pPr>
      <w:r>
        <w:rPr>
          <w:rFonts w:ascii="Arial" w:eastAsia="Arial" w:hAnsi="Arial" w:cs="Arial"/>
          <w:b/>
        </w:rPr>
        <w:t>AIU</w:t>
      </w:r>
      <w:r>
        <w:rPr>
          <w:rFonts w:ascii="Arial" w:eastAsia="Arial" w:hAnsi="Arial" w:cs="Arial"/>
        </w:rPr>
        <w:t>: $9.716.152.160.</w:t>
      </w:r>
    </w:p>
    <w:p w14:paraId="636317B1"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6B90C182" w14:textId="77777777" w:rsidR="00CF2D13" w:rsidRDefault="00EA5C62">
      <w:pPr>
        <w:spacing w:after="0" w:line="276" w:lineRule="auto"/>
        <w:jc w:val="both"/>
        <w:rPr>
          <w:rFonts w:ascii="Arial" w:eastAsia="Arial" w:hAnsi="Arial" w:cs="Arial"/>
        </w:rPr>
      </w:pPr>
      <w:r>
        <w:rPr>
          <w:rFonts w:ascii="Arial" w:eastAsia="Arial" w:hAnsi="Arial" w:cs="Arial"/>
        </w:rPr>
        <w:t>En comité operativo No. 85, del 2 de octubre de 2025, RENOBO presentó el siguiente cronograma.</w:t>
      </w:r>
    </w:p>
    <w:p w14:paraId="2B5C7AC2"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tbl>
      <w:tblPr>
        <w:tblStyle w:val="a0"/>
        <w:tblW w:w="82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550"/>
        <w:gridCol w:w="1875"/>
        <w:gridCol w:w="1755"/>
        <w:gridCol w:w="2085"/>
      </w:tblGrid>
      <w:tr w:rsidR="00CF2D13" w14:paraId="133B3343" w14:textId="77777777">
        <w:trPr>
          <w:trHeight w:val="405"/>
        </w:trPr>
        <w:tc>
          <w:tcPr>
            <w:tcW w:w="2550" w:type="dxa"/>
            <w:tcBorders>
              <w:top w:val="single" w:sz="6" w:space="0" w:color="434343"/>
              <w:left w:val="single" w:sz="6" w:space="0" w:color="434343"/>
              <w:bottom w:val="single" w:sz="6" w:space="0" w:color="434343"/>
              <w:right w:val="single" w:sz="6" w:space="0" w:color="434343"/>
            </w:tcBorders>
            <w:shd w:val="clear" w:color="auto" w:fill="434343"/>
            <w:tcMar>
              <w:top w:w="20" w:type="dxa"/>
              <w:left w:w="20" w:type="dxa"/>
              <w:bottom w:w="0" w:type="dxa"/>
              <w:right w:w="20" w:type="dxa"/>
            </w:tcMar>
          </w:tcPr>
          <w:p w14:paraId="15DE38EC" w14:textId="77777777" w:rsidR="00CF2D13" w:rsidRDefault="00EA5C62">
            <w:pPr>
              <w:spacing w:after="0" w:line="276" w:lineRule="auto"/>
              <w:jc w:val="center"/>
              <w:rPr>
                <w:rFonts w:ascii="Arial" w:eastAsia="Arial" w:hAnsi="Arial" w:cs="Arial"/>
                <w:b/>
                <w:color w:val="FFFFFF"/>
                <w:sz w:val="16"/>
                <w:szCs w:val="16"/>
              </w:rPr>
            </w:pPr>
            <w:r>
              <w:rPr>
                <w:rFonts w:ascii="Arial" w:eastAsia="Arial" w:hAnsi="Arial" w:cs="Arial"/>
                <w:b/>
                <w:color w:val="FFFFFF"/>
                <w:sz w:val="16"/>
                <w:szCs w:val="16"/>
              </w:rPr>
              <w:t>CONCEPTO</w:t>
            </w:r>
          </w:p>
        </w:tc>
        <w:tc>
          <w:tcPr>
            <w:tcW w:w="1875" w:type="dxa"/>
            <w:tcBorders>
              <w:top w:val="single" w:sz="6" w:space="0" w:color="434343"/>
              <w:left w:val="nil"/>
              <w:bottom w:val="single" w:sz="6" w:space="0" w:color="434343"/>
              <w:right w:val="single" w:sz="6" w:space="0" w:color="434343"/>
            </w:tcBorders>
            <w:shd w:val="clear" w:color="auto" w:fill="434343"/>
            <w:tcMar>
              <w:top w:w="20" w:type="dxa"/>
              <w:left w:w="20" w:type="dxa"/>
              <w:bottom w:w="0" w:type="dxa"/>
              <w:right w:w="20" w:type="dxa"/>
            </w:tcMar>
          </w:tcPr>
          <w:p w14:paraId="093A846A" w14:textId="77777777" w:rsidR="00CF2D13" w:rsidRDefault="00EA5C62">
            <w:pPr>
              <w:spacing w:after="0" w:line="276" w:lineRule="auto"/>
              <w:jc w:val="center"/>
              <w:rPr>
                <w:rFonts w:ascii="Arial" w:eastAsia="Arial" w:hAnsi="Arial" w:cs="Arial"/>
                <w:b/>
                <w:color w:val="FFFFFF"/>
                <w:sz w:val="16"/>
                <w:szCs w:val="16"/>
              </w:rPr>
            </w:pPr>
            <w:r>
              <w:rPr>
                <w:rFonts w:ascii="Arial" w:eastAsia="Arial" w:hAnsi="Arial" w:cs="Arial"/>
                <w:b/>
                <w:color w:val="FFFFFF"/>
                <w:sz w:val="16"/>
                <w:szCs w:val="16"/>
              </w:rPr>
              <w:t>INICIAL</w:t>
            </w:r>
          </w:p>
        </w:tc>
        <w:tc>
          <w:tcPr>
            <w:tcW w:w="1755" w:type="dxa"/>
            <w:tcBorders>
              <w:top w:val="single" w:sz="6" w:space="0" w:color="434343"/>
              <w:left w:val="nil"/>
              <w:bottom w:val="single" w:sz="6" w:space="0" w:color="434343"/>
              <w:right w:val="single" w:sz="6" w:space="0" w:color="434343"/>
            </w:tcBorders>
            <w:shd w:val="clear" w:color="auto" w:fill="434343"/>
            <w:tcMar>
              <w:top w:w="20" w:type="dxa"/>
              <w:left w:w="20" w:type="dxa"/>
              <w:bottom w:w="0" w:type="dxa"/>
              <w:right w:w="20" w:type="dxa"/>
            </w:tcMar>
          </w:tcPr>
          <w:p w14:paraId="24F67F59" w14:textId="77777777" w:rsidR="00CF2D13" w:rsidRDefault="00EA5C62">
            <w:pPr>
              <w:spacing w:after="0" w:line="276" w:lineRule="auto"/>
              <w:jc w:val="center"/>
              <w:rPr>
                <w:rFonts w:ascii="Arial" w:eastAsia="Arial" w:hAnsi="Arial" w:cs="Arial"/>
                <w:b/>
                <w:color w:val="FFFFFF"/>
                <w:sz w:val="16"/>
                <w:szCs w:val="16"/>
              </w:rPr>
            </w:pPr>
            <w:r>
              <w:rPr>
                <w:rFonts w:ascii="Arial" w:eastAsia="Arial" w:hAnsi="Arial" w:cs="Arial"/>
                <w:b/>
                <w:color w:val="FFFFFF"/>
                <w:sz w:val="16"/>
                <w:szCs w:val="16"/>
              </w:rPr>
              <w:t>ADENDAS ANTERIORES</w:t>
            </w:r>
          </w:p>
        </w:tc>
        <w:tc>
          <w:tcPr>
            <w:tcW w:w="2085" w:type="dxa"/>
            <w:tcBorders>
              <w:top w:val="single" w:sz="6" w:space="0" w:color="434343"/>
              <w:left w:val="nil"/>
              <w:bottom w:val="single" w:sz="6" w:space="0" w:color="434343"/>
              <w:right w:val="single" w:sz="6" w:space="0" w:color="434343"/>
            </w:tcBorders>
            <w:shd w:val="clear" w:color="auto" w:fill="434343"/>
            <w:tcMar>
              <w:top w:w="20" w:type="dxa"/>
              <w:left w:w="20" w:type="dxa"/>
              <w:bottom w:w="0" w:type="dxa"/>
              <w:right w:w="20" w:type="dxa"/>
            </w:tcMar>
          </w:tcPr>
          <w:p w14:paraId="1F802C96" w14:textId="77777777" w:rsidR="00CF2D13" w:rsidRDefault="00EA5C62">
            <w:pPr>
              <w:spacing w:after="0" w:line="276" w:lineRule="auto"/>
              <w:jc w:val="center"/>
              <w:rPr>
                <w:rFonts w:ascii="Arial" w:eastAsia="Arial" w:hAnsi="Arial" w:cs="Arial"/>
                <w:b/>
                <w:color w:val="FFFFFF"/>
                <w:sz w:val="16"/>
                <w:szCs w:val="16"/>
              </w:rPr>
            </w:pPr>
            <w:r>
              <w:rPr>
                <w:rFonts w:ascii="Arial" w:eastAsia="Arial" w:hAnsi="Arial" w:cs="Arial"/>
                <w:b/>
                <w:color w:val="FFFFFF"/>
                <w:sz w:val="16"/>
                <w:szCs w:val="16"/>
              </w:rPr>
              <w:t>ACTUAL</w:t>
            </w:r>
          </w:p>
        </w:tc>
      </w:tr>
      <w:tr w:rsidR="00CF2D13" w14:paraId="2E0C5800" w14:textId="77777777">
        <w:trPr>
          <w:trHeight w:val="210"/>
        </w:trPr>
        <w:tc>
          <w:tcPr>
            <w:tcW w:w="2550"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612A50BA"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Publicación Borradores</w:t>
            </w:r>
          </w:p>
        </w:tc>
        <w:tc>
          <w:tcPr>
            <w:tcW w:w="1875" w:type="dxa"/>
            <w:tcBorders>
              <w:top w:val="nil"/>
              <w:left w:val="nil"/>
              <w:bottom w:val="single" w:sz="6" w:space="0" w:color="434343"/>
              <w:right w:val="single" w:sz="6" w:space="0" w:color="434343"/>
            </w:tcBorders>
            <w:tcMar>
              <w:top w:w="20" w:type="dxa"/>
              <w:left w:w="20" w:type="dxa"/>
              <w:bottom w:w="0" w:type="dxa"/>
              <w:right w:w="20" w:type="dxa"/>
            </w:tcMar>
          </w:tcPr>
          <w:p w14:paraId="2F67E309"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4/07/2025</w:t>
            </w:r>
          </w:p>
        </w:tc>
        <w:tc>
          <w:tcPr>
            <w:tcW w:w="1755" w:type="dxa"/>
            <w:tcBorders>
              <w:top w:val="nil"/>
              <w:left w:val="nil"/>
              <w:bottom w:val="single" w:sz="6" w:space="0" w:color="434343"/>
              <w:right w:val="single" w:sz="6" w:space="0" w:color="434343"/>
            </w:tcBorders>
            <w:tcMar>
              <w:top w:w="20" w:type="dxa"/>
              <w:left w:w="20" w:type="dxa"/>
              <w:bottom w:w="0" w:type="dxa"/>
              <w:right w:w="20" w:type="dxa"/>
            </w:tcMar>
          </w:tcPr>
          <w:p w14:paraId="3F7DA696"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 xml:space="preserve"> </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526CABEC" w14:textId="77777777" w:rsidR="00CF2D13" w:rsidRDefault="00CF2D13">
            <w:pPr>
              <w:spacing w:after="0" w:line="240" w:lineRule="auto"/>
              <w:jc w:val="center"/>
              <w:rPr>
                <w:rFonts w:ascii="Arial" w:eastAsia="Arial" w:hAnsi="Arial" w:cs="Arial"/>
                <w:sz w:val="20"/>
                <w:szCs w:val="20"/>
              </w:rPr>
            </w:pPr>
          </w:p>
        </w:tc>
      </w:tr>
      <w:tr w:rsidR="00CF2D13" w14:paraId="18DD0652" w14:textId="77777777">
        <w:trPr>
          <w:trHeight w:val="210"/>
        </w:trPr>
        <w:tc>
          <w:tcPr>
            <w:tcW w:w="2550"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2A98B49E"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Publicación Definitivos</w:t>
            </w:r>
          </w:p>
        </w:tc>
        <w:tc>
          <w:tcPr>
            <w:tcW w:w="1875" w:type="dxa"/>
            <w:tcBorders>
              <w:top w:val="nil"/>
              <w:left w:val="nil"/>
              <w:bottom w:val="single" w:sz="6" w:space="0" w:color="434343"/>
              <w:right w:val="single" w:sz="6" w:space="0" w:color="434343"/>
            </w:tcBorders>
            <w:tcMar>
              <w:top w:w="20" w:type="dxa"/>
              <w:left w:w="20" w:type="dxa"/>
              <w:bottom w:w="0" w:type="dxa"/>
              <w:right w:w="20" w:type="dxa"/>
            </w:tcMar>
          </w:tcPr>
          <w:p w14:paraId="3F55E937"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12/08/2025</w:t>
            </w:r>
          </w:p>
        </w:tc>
        <w:tc>
          <w:tcPr>
            <w:tcW w:w="1755" w:type="dxa"/>
            <w:tcBorders>
              <w:top w:val="nil"/>
              <w:left w:val="nil"/>
              <w:bottom w:val="single" w:sz="6" w:space="0" w:color="434343"/>
              <w:right w:val="single" w:sz="6" w:space="0" w:color="434343"/>
            </w:tcBorders>
            <w:tcMar>
              <w:top w:w="20" w:type="dxa"/>
              <w:left w:w="20" w:type="dxa"/>
              <w:bottom w:w="0" w:type="dxa"/>
              <w:right w:w="20" w:type="dxa"/>
            </w:tcMar>
          </w:tcPr>
          <w:p w14:paraId="5DE0B853"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 xml:space="preserve"> </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110C1DB9" w14:textId="77777777" w:rsidR="00CF2D13" w:rsidRDefault="00CF2D13">
            <w:pPr>
              <w:spacing w:after="0" w:line="240" w:lineRule="auto"/>
              <w:jc w:val="center"/>
              <w:rPr>
                <w:rFonts w:ascii="Arial" w:eastAsia="Arial" w:hAnsi="Arial" w:cs="Arial"/>
                <w:sz w:val="20"/>
                <w:szCs w:val="20"/>
              </w:rPr>
            </w:pPr>
          </w:p>
        </w:tc>
      </w:tr>
      <w:tr w:rsidR="00CF2D13" w14:paraId="493E5B24" w14:textId="77777777">
        <w:trPr>
          <w:trHeight w:val="525"/>
        </w:trPr>
        <w:tc>
          <w:tcPr>
            <w:tcW w:w="2550"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72482F88"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Observaciones a los términos</w:t>
            </w:r>
            <w:r>
              <w:rPr>
                <w:rFonts w:ascii="Arial" w:eastAsia="Arial" w:hAnsi="Arial" w:cs="Arial"/>
                <w:sz w:val="16"/>
                <w:szCs w:val="16"/>
              </w:rPr>
              <w:br/>
              <w:t>de referencia definitivos.</w:t>
            </w:r>
          </w:p>
        </w:tc>
        <w:tc>
          <w:tcPr>
            <w:tcW w:w="1875" w:type="dxa"/>
            <w:tcBorders>
              <w:top w:val="nil"/>
              <w:left w:val="nil"/>
              <w:bottom w:val="single" w:sz="6" w:space="0" w:color="434343"/>
              <w:right w:val="single" w:sz="6" w:space="0" w:color="434343"/>
            </w:tcBorders>
            <w:tcMar>
              <w:top w:w="20" w:type="dxa"/>
              <w:left w:w="20" w:type="dxa"/>
              <w:bottom w:w="0" w:type="dxa"/>
              <w:right w:w="20" w:type="dxa"/>
            </w:tcMar>
          </w:tcPr>
          <w:p w14:paraId="56547A01"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15 de agosto de</w:t>
            </w:r>
            <w:r>
              <w:rPr>
                <w:rFonts w:ascii="Arial" w:eastAsia="Arial" w:hAnsi="Arial" w:cs="Arial"/>
                <w:sz w:val="16"/>
                <w:szCs w:val="16"/>
              </w:rPr>
              <w:br/>
              <w:t>2025</w:t>
            </w:r>
          </w:p>
        </w:tc>
        <w:tc>
          <w:tcPr>
            <w:tcW w:w="1755" w:type="dxa"/>
            <w:tcBorders>
              <w:top w:val="nil"/>
              <w:left w:val="nil"/>
              <w:bottom w:val="single" w:sz="6" w:space="0" w:color="434343"/>
              <w:right w:val="single" w:sz="6" w:space="0" w:color="434343"/>
            </w:tcBorders>
            <w:tcMar>
              <w:top w:w="20" w:type="dxa"/>
              <w:left w:w="20" w:type="dxa"/>
              <w:bottom w:w="0" w:type="dxa"/>
              <w:right w:w="20" w:type="dxa"/>
            </w:tcMar>
          </w:tcPr>
          <w:p w14:paraId="01D94D1C"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 xml:space="preserve"> </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086FEF5C" w14:textId="77777777" w:rsidR="00CF2D13" w:rsidRDefault="00CF2D13">
            <w:pPr>
              <w:spacing w:after="0" w:line="240" w:lineRule="auto"/>
              <w:jc w:val="center"/>
              <w:rPr>
                <w:rFonts w:ascii="Arial" w:eastAsia="Arial" w:hAnsi="Arial" w:cs="Arial"/>
                <w:sz w:val="20"/>
                <w:szCs w:val="20"/>
              </w:rPr>
            </w:pPr>
          </w:p>
        </w:tc>
      </w:tr>
      <w:tr w:rsidR="00CF2D13" w14:paraId="0C5669F8" w14:textId="77777777">
        <w:trPr>
          <w:trHeight w:val="735"/>
        </w:trPr>
        <w:tc>
          <w:tcPr>
            <w:tcW w:w="2550"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783B3FD1"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Respuesta a observaciones a</w:t>
            </w:r>
            <w:r>
              <w:rPr>
                <w:rFonts w:ascii="Arial" w:eastAsia="Arial" w:hAnsi="Arial" w:cs="Arial"/>
                <w:sz w:val="16"/>
                <w:szCs w:val="16"/>
              </w:rPr>
              <w:br/>
              <w:t>los términos de referencia</w:t>
            </w:r>
            <w:r>
              <w:rPr>
                <w:rFonts w:ascii="Arial" w:eastAsia="Arial" w:hAnsi="Arial" w:cs="Arial"/>
                <w:sz w:val="16"/>
                <w:szCs w:val="16"/>
              </w:rPr>
              <w:br/>
              <w:t>definitivos.</w:t>
            </w:r>
          </w:p>
        </w:tc>
        <w:tc>
          <w:tcPr>
            <w:tcW w:w="1875" w:type="dxa"/>
            <w:tcBorders>
              <w:top w:val="nil"/>
              <w:left w:val="nil"/>
              <w:bottom w:val="single" w:sz="6" w:space="0" w:color="434343"/>
              <w:right w:val="single" w:sz="6" w:space="0" w:color="434343"/>
            </w:tcBorders>
            <w:tcMar>
              <w:top w:w="20" w:type="dxa"/>
              <w:left w:w="20" w:type="dxa"/>
              <w:bottom w:w="0" w:type="dxa"/>
              <w:right w:w="20" w:type="dxa"/>
            </w:tcMar>
          </w:tcPr>
          <w:p w14:paraId="140C3E59"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22 de agosto de 2025</w:t>
            </w:r>
          </w:p>
        </w:tc>
        <w:tc>
          <w:tcPr>
            <w:tcW w:w="1755" w:type="dxa"/>
            <w:tcBorders>
              <w:top w:val="nil"/>
              <w:left w:val="nil"/>
              <w:bottom w:val="single" w:sz="6" w:space="0" w:color="434343"/>
              <w:right w:val="single" w:sz="6" w:space="0" w:color="434343"/>
            </w:tcBorders>
            <w:tcMar>
              <w:top w:w="20" w:type="dxa"/>
              <w:left w:w="20" w:type="dxa"/>
              <w:bottom w:w="0" w:type="dxa"/>
              <w:right w:w="20" w:type="dxa"/>
            </w:tcMar>
          </w:tcPr>
          <w:p w14:paraId="34C094E7"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3 de septiembre de 2025</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5B1D4113" w14:textId="77777777" w:rsidR="00CF2D13" w:rsidRDefault="00CF2D13">
            <w:pPr>
              <w:spacing w:after="0" w:line="240" w:lineRule="auto"/>
              <w:jc w:val="center"/>
              <w:rPr>
                <w:rFonts w:ascii="Arial" w:eastAsia="Arial" w:hAnsi="Arial" w:cs="Arial"/>
                <w:sz w:val="20"/>
                <w:szCs w:val="20"/>
              </w:rPr>
            </w:pPr>
          </w:p>
        </w:tc>
      </w:tr>
      <w:tr w:rsidR="00CF2D13" w14:paraId="18C6C929" w14:textId="77777777">
        <w:trPr>
          <w:trHeight w:val="585"/>
        </w:trPr>
        <w:tc>
          <w:tcPr>
            <w:tcW w:w="2550"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6A2C106E"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Expedición de adendas si a ello hubiere lugar</w:t>
            </w:r>
          </w:p>
        </w:tc>
        <w:tc>
          <w:tcPr>
            <w:tcW w:w="1875" w:type="dxa"/>
            <w:tcBorders>
              <w:top w:val="nil"/>
              <w:left w:val="nil"/>
              <w:bottom w:val="single" w:sz="6" w:space="0" w:color="434343"/>
              <w:right w:val="single" w:sz="6" w:space="0" w:color="434343"/>
            </w:tcBorders>
            <w:tcMar>
              <w:top w:w="20" w:type="dxa"/>
              <w:left w:w="20" w:type="dxa"/>
              <w:bottom w:w="0" w:type="dxa"/>
              <w:right w:w="20" w:type="dxa"/>
            </w:tcMar>
          </w:tcPr>
          <w:p w14:paraId="377F34C9"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25 de agosto de</w:t>
            </w:r>
            <w:r>
              <w:rPr>
                <w:rFonts w:ascii="Arial" w:eastAsia="Arial" w:hAnsi="Arial" w:cs="Arial"/>
                <w:sz w:val="16"/>
                <w:szCs w:val="16"/>
              </w:rPr>
              <w:br/>
              <w:t>2025 hasta las 7:00 P.M.</w:t>
            </w:r>
          </w:p>
        </w:tc>
        <w:tc>
          <w:tcPr>
            <w:tcW w:w="1755" w:type="dxa"/>
            <w:tcBorders>
              <w:top w:val="nil"/>
              <w:left w:val="nil"/>
              <w:bottom w:val="single" w:sz="6" w:space="0" w:color="434343"/>
              <w:right w:val="single" w:sz="6" w:space="0" w:color="434343"/>
            </w:tcBorders>
            <w:tcMar>
              <w:top w:w="20" w:type="dxa"/>
              <w:left w:w="20" w:type="dxa"/>
              <w:bottom w:w="0" w:type="dxa"/>
              <w:right w:w="20" w:type="dxa"/>
            </w:tcMar>
          </w:tcPr>
          <w:p w14:paraId="2618E148"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8 de septiembre de2025 hasta las 7:00 P.M.</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23874DF7" w14:textId="77777777" w:rsidR="00CF2D13" w:rsidRDefault="00CF2D13">
            <w:pPr>
              <w:spacing w:after="0" w:line="240" w:lineRule="auto"/>
              <w:jc w:val="center"/>
              <w:rPr>
                <w:rFonts w:ascii="Arial" w:eastAsia="Arial" w:hAnsi="Arial" w:cs="Arial"/>
                <w:sz w:val="20"/>
                <w:szCs w:val="20"/>
              </w:rPr>
            </w:pPr>
          </w:p>
        </w:tc>
      </w:tr>
      <w:tr w:rsidR="00CF2D13" w14:paraId="1CC1E9CA" w14:textId="77777777">
        <w:trPr>
          <w:trHeight w:val="675"/>
        </w:trPr>
        <w:tc>
          <w:tcPr>
            <w:tcW w:w="2550"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1D1FE7DD"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Plazo límite para</w:t>
            </w:r>
            <w:r>
              <w:rPr>
                <w:rFonts w:ascii="Arial" w:eastAsia="Arial" w:hAnsi="Arial" w:cs="Arial"/>
                <w:sz w:val="16"/>
                <w:szCs w:val="16"/>
              </w:rPr>
              <w:br/>
              <w:t>presentación de propuestas y</w:t>
            </w:r>
            <w:r>
              <w:rPr>
                <w:rFonts w:ascii="Arial" w:eastAsia="Arial" w:hAnsi="Arial" w:cs="Arial"/>
                <w:sz w:val="16"/>
                <w:szCs w:val="16"/>
              </w:rPr>
              <w:br/>
              <w:t>cierre de la invitación</w:t>
            </w:r>
          </w:p>
        </w:tc>
        <w:tc>
          <w:tcPr>
            <w:tcW w:w="1875" w:type="dxa"/>
            <w:tcBorders>
              <w:top w:val="nil"/>
              <w:left w:val="nil"/>
              <w:bottom w:val="single" w:sz="6" w:space="0" w:color="434343"/>
              <w:right w:val="single" w:sz="6" w:space="0" w:color="434343"/>
            </w:tcBorders>
            <w:tcMar>
              <w:top w:w="20" w:type="dxa"/>
              <w:left w:w="20" w:type="dxa"/>
              <w:bottom w:w="0" w:type="dxa"/>
              <w:right w:w="20" w:type="dxa"/>
            </w:tcMar>
          </w:tcPr>
          <w:p w14:paraId="6C0EC513"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29 de agosto de</w:t>
            </w:r>
            <w:r>
              <w:rPr>
                <w:rFonts w:ascii="Arial" w:eastAsia="Arial" w:hAnsi="Arial" w:cs="Arial"/>
                <w:sz w:val="16"/>
                <w:szCs w:val="16"/>
              </w:rPr>
              <w:br/>
              <w:t>2025 hasta las 5:00 P.M.</w:t>
            </w:r>
          </w:p>
        </w:tc>
        <w:tc>
          <w:tcPr>
            <w:tcW w:w="1755" w:type="dxa"/>
            <w:tcBorders>
              <w:top w:val="nil"/>
              <w:left w:val="nil"/>
              <w:bottom w:val="single" w:sz="6" w:space="0" w:color="434343"/>
              <w:right w:val="single" w:sz="6" w:space="0" w:color="434343"/>
            </w:tcBorders>
            <w:tcMar>
              <w:top w:w="20" w:type="dxa"/>
              <w:left w:w="20" w:type="dxa"/>
              <w:bottom w:w="0" w:type="dxa"/>
              <w:right w:w="20" w:type="dxa"/>
            </w:tcMar>
          </w:tcPr>
          <w:p w14:paraId="0DAB6829"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10 de septiembre de 2025 hasta las 5:00 P.M.</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03C7A2EC" w14:textId="77777777" w:rsidR="00CF2D13" w:rsidRDefault="00CF2D13">
            <w:pPr>
              <w:spacing w:after="0" w:line="240" w:lineRule="auto"/>
              <w:jc w:val="center"/>
              <w:rPr>
                <w:rFonts w:ascii="Arial" w:eastAsia="Arial" w:hAnsi="Arial" w:cs="Arial"/>
                <w:sz w:val="20"/>
                <w:szCs w:val="20"/>
              </w:rPr>
            </w:pPr>
          </w:p>
        </w:tc>
      </w:tr>
      <w:tr w:rsidR="00CF2D13" w14:paraId="1ABE46A6" w14:textId="77777777">
        <w:trPr>
          <w:trHeight w:val="585"/>
        </w:trPr>
        <w:tc>
          <w:tcPr>
            <w:tcW w:w="2550"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5632AABF"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Publicación del Informe de Verificación y Evaluación de</w:t>
            </w:r>
            <w:r>
              <w:rPr>
                <w:rFonts w:ascii="Arial" w:eastAsia="Arial" w:hAnsi="Arial" w:cs="Arial"/>
                <w:sz w:val="16"/>
                <w:szCs w:val="16"/>
              </w:rPr>
              <w:br/>
              <w:t>las propuestas</w:t>
            </w:r>
          </w:p>
        </w:tc>
        <w:tc>
          <w:tcPr>
            <w:tcW w:w="1875" w:type="dxa"/>
            <w:tcBorders>
              <w:top w:val="nil"/>
              <w:left w:val="nil"/>
              <w:bottom w:val="single" w:sz="6" w:space="0" w:color="434343"/>
              <w:right w:val="single" w:sz="6" w:space="0" w:color="434343"/>
            </w:tcBorders>
            <w:tcMar>
              <w:top w:w="20" w:type="dxa"/>
              <w:left w:w="20" w:type="dxa"/>
              <w:bottom w:w="0" w:type="dxa"/>
              <w:right w:w="20" w:type="dxa"/>
            </w:tcMar>
          </w:tcPr>
          <w:p w14:paraId="70CD3C59"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05 de septiembre de 2025</w:t>
            </w:r>
          </w:p>
        </w:tc>
        <w:tc>
          <w:tcPr>
            <w:tcW w:w="1755" w:type="dxa"/>
            <w:tcBorders>
              <w:top w:val="nil"/>
              <w:left w:val="nil"/>
              <w:bottom w:val="single" w:sz="6" w:space="0" w:color="434343"/>
              <w:right w:val="single" w:sz="6" w:space="0" w:color="434343"/>
            </w:tcBorders>
            <w:tcMar>
              <w:top w:w="20" w:type="dxa"/>
              <w:left w:w="20" w:type="dxa"/>
              <w:bottom w:w="0" w:type="dxa"/>
              <w:right w:w="20" w:type="dxa"/>
            </w:tcMar>
          </w:tcPr>
          <w:p w14:paraId="0C910FCE"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16 de septiembre de 2025</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341813D9"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30 de septiembre de 2025</w:t>
            </w:r>
          </w:p>
        </w:tc>
      </w:tr>
      <w:tr w:rsidR="00CF2D13" w14:paraId="0EC62B07" w14:textId="77777777">
        <w:trPr>
          <w:trHeight w:val="780"/>
        </w:trPr>
        <w:tc>
          <w:tcPr>
            <w:tcW w:w="2550"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10A9077A"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Observaciones al Informe de Verificación y Evaluación de las propuestas y subsanaciones</w:t>
            </w:r>
          </w:p>
        </w:tc>
        <w:tc>
          <w:tcPr>
            <w:tcW w:w="1875" w:type="dxa"/>
            <w:tcBorders>
              <w:top w:val="nil"/>
              <w:left w:val="nil"/>
              <w:bottom w:val="single" w:sz="6" w:space="0" w:color="434343"/>
              <w:right w:val="single" w:sz="6" w:space="0" w:color="434343"/>
            </w:tcBorders>
            <w:tcMar>
              <w:top w:w="20" w:type="dxa"/>
              <w:left w:w="20" w:type="dxa"/>
              <w:bottom w:w="0" w:type="dxa"/>
              <w:right w:w="20" w:type="dxa"/>
            </w:tcMar>
          </w:tcPr>
          <w:p w14:paraId="3F909D80"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10 de septiembre</w:t>
            </w:r>
            <w:r>
              <w:rPr>
                <w:rFonts w:ascii="Arial" w:eastAsia="Arial" w:hAnsi="Arial" w:cs="Arial"/>
                <w:sz w:val="16"/>
                <w:szCs w:val="16"/>
              </w:rPr>
              <w:br/>
              <w:t>de 2025 hasta las 5:00</w:t>
            </w:r>
            <w:r>
              <w:rPr>
                <w:rFonts w:ascii="Arial" w:eastAsia="Arial" w:hAnsi="Arial" w:cs="Arial"/>
                <w:sz w:val="16"/>
                <w:szCs w:val="16"/>
              </w:rPr>
              <w:br/>
              <w:t>P.M.</w:t>
            </w:r>
          </w:p>
        </w:tc>
        <w:tc>
          <w:tcPr>
            <w:tcW w:w="1755" w:type="dxa"/>
            <w:tcBorders>
              <w:top w:val="nil"/>
              <w:left w:val="nil"/>
              <w:bottom w:val="single" w:sz="6" w:space="0" w:color="434343"/>
              <w:right w:val="single" w:sz="6" w:space="0" w:color="434343"/>
            </w:tcBorders>
            <w:tcMar>
              <w:top w:w="20" w:type="dxa"/>
              <w:left w:w="20" w:type="dxa"/>
              <w:bottom w:w="0" w:type="dxa"/>
              <w:right w:w="20" w:type="dxa"/>
            </w:tcMar>
          </w:tcPr>
          <w:p w14:paraId="29F70A99"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19 de septiembre de 2025 hasta las 5:00 P.M.</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055E53EC"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3 de octubre de 2025 hasta las 5:00 P.M</w:t>
            </w:r>
          </w:p>
        </w:tc>
      </w:tr>
      <w:tr w:rsidR="00CF2D13" w14:paraId="408BA777" w14:textId="77777777">
        <w:trPr>
          <w:trHeight w:val="780"/>
        </w:trPr>
        <w:tc>
          <w:tcPr>
            <w:tcW w:w="2550"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636D580C"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Respuesta a observaciones y</w:t>
            </w:r>
            <w:r>
              <w:rPr>
                <w:rFonts w:ascii="Arial" w:eastAsia="Arial" w:hAnsi="Arial" w:cs="Arial"/>
                <w:sz w:val="16"/>
                <w:szCs w:val="16"/>
              </w:rPr>
              <w:br/>
              <w:t>publicación del Informe de Verificación y Evaluación de</w:t>
            </w:r>
            <w:r>
              <w:rPr>
                <w:rFonts w:ascii="Arial" w:eastAsia="Arial" w:hAnsi="Arial" w:cs="Arial"/>
                <w:sz w:val="16"/>
                <w:szCs w:val="16"/>
              </w:rPr>
              <w:br/>
              <w:t>las propuestas</w:t>
            </w:r>
          </w:p>
        </w:tc>
        <w:tc>
          <w:tcPr>
            <w:tcW w:w="1875" w:type="dxa"/>
            <w:tcBorders>
              <w:top w:val="nil"/>
              <w:left w:val="nil"/>
              <w:bottom w:val="single" w:sz="6" w:space="0" w:color="434343"/>
              <w:right w:val="single" w:sz="6" w:space="0" w:color="434343"/>
            </w:tcBorders>
            <w:tcMar>
              <w:top w:w="20" w:type="dxa"/>
              <w:left w:w="20" w:type="dxa"/>
              <w:bottom w:w="0" w:type="dxa"/>
              <w:right w:w="20" w:type="dxa"/>
            </w:tcMar>
          </w:tcPr>
          <w:p w14:paraId="74D7C083"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15 de septiembre de 2025</w:t>
            </w:r>
          </w:p>
        </w:tc>
        <w:tc>
          <w:tcPr>
            <w:tcW w:w="1755" w:type="dxa"/>
            <w:tcBorders>
              <w:top w:val="nil"/>
              <w:left w:val="nil"/>
              <w:bottom w:val="single" w:sz="6" w:space="0" w:color="434343"/>
              <w:right w:val="single" w:sz="6" w:space="0" w:color="434343"/>
            </w:tcBorders>
            <w:tcMar>
              <w:top w:w="20" w:type="dxa"/>
              <w:left w:w="20" w:type="dxa"/>
              <w:bottom w:w="0" w:type="dxa"/>
              <w:right w:w="20" w:type="dxa"/>
            </w:tcMar>
          </w:tcPr>
          <w:p w14:paraId="140160F9"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24 de septiembre de 2025</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13F1DBD8"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8 de octubre de 2025</w:t>
            </w:r>
          </w:p>
        </w:tc>
      </w:tr>
      <w:tr w:rsidR="00CF2D13" w14:paraId="1A0E69E8" w14:textId="77777777">
        <w:trPr>
          <w:trHeight w:val="780"/>
        </w:trPr>
        <w:tc>
          <w:tcPr>
            <w:tcW w:w="2550"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48A44A56"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lastRenderedPageBreak/>
              <w:t>Decisión de la mejor oferta (Audiencia aplicará si se va arealizar sorteo en el caso de empate)</w:t>
            </w:r>
          </w:p>
        </w:tc>
        <w:tc>
          <w:tcPr>
            <w:tcW w:w="1875" w:type="dxa"/>
            <w:tcBorders>
              <w:top w:val="nil"/>
              <w:left w:val="nil"/>
              <w:bottom w:val="single" w:sz="6" w:space="0" w:color="434343"/>
              <w:right w:val="single" w:sz="6" w:space="0" w:color="434343"/>
            </w:tcBorders>
            <w:tcMar>
              <w:top w:w="20" w:type="dxa"/>
              <w:left w:w="20" w:type="dxa"/>
              <w:bottom w:w="0" w:type="dxa"/>
              <w:right w:w="20" w:type="dxa"/>
            </w:tcMar>
          </w:tcPr>
          <w:p w14:paraId="61C4915E"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los 2 días hábiles</w:t>
            </w:r>
            <w:r>
              <w:rPr>
                <w:rFonts w:ascii="Arial" w:eastAsia="Arial" w:hAnsi="Arial" w:cs="Arial"/>
                <w:sz w:val="16"/>
                <w:szCs w:val="16"/>
              </w:rPr>
              <w:br/>
              <w:t>siguientes</w:t>
            </w:r>
          </w:p>
        </w:tc>
        <w:tc>
          <w:tcPr>
            <w:tcW w:w="1755" w:type="dxa"/>
            <w:tcBorders>
              <w:top w:val="nil"/>
              <w:left w:val="nil"/>
              <w:bottom w:val="single" w:sz="6" w:space="0" w:color="434343"/>
              <w:right w:val="single" w:sz="6" w:space="0" w:color="434343"/>
            </w:tcBorders>
            <w:tcMar>
              <w:top w:w="20" w:type="dxa"/>
              <w:left w:w="20" w:type="dxa"/>
              <w:bottom w:w="0" w:type="dxa"/>
              <w:right w:w="20" w:type="dxa"/>
            </w:tcMar>
          </w:tcPr>
          <w:p w14:paraId="4D09B1F8"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los 2 días hábiles siguientes</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07FD4360"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 dos (2) días siguien</w:t>
            </w:r>
            <w:r>
              <w:rPr>
                <w:rFonts w:ascii="Arial" w:eastAsia="Arial" w:hAnsi="Arial" w:cs="Arial"/>
                <w:sz w:val="16"/>
                <w:szCs w:val="16"/>
              </w:rPr>
              <w:t>tes</w:t>
            </w:r>
          </w:p>
        </w:tc>
      </w:tr>
      <w:tr w:rsidR="00CF2D13" w14:paraId="3FD7035F" w14:textId="77777777">
        <w:trPr>
          <w:trHeight w:val="405"/>
        </w:trPr>
        <w:tc>
          <w:tcPr>
            <w:tcW w:w="2550"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3601AD51"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Suscripción del Contrato</w:t>
            </w:r>
          </w:p>
        </w:tc>
        <w:tc>
          <w:tcPr>
            <w:tcW w:w="1875" w:type="dxa"/>
            <w:tcBorders>
              <w:top w:val="nil"/>
              <w:left w:val="nil"/>
              <w:bottom w:val="single" w:sz="6" w:space="0" w:color="434343"/>
              <w:right w:val="single" w:sz="6" w:space="0" w:color="434343"/>
            </w:tcBorders>
            <w:tcMar>
              <w:top w:w="20" w:type="dxa"/>
              <w:left w:w="20" w:type="dxa"/>
              <w:bottom w:w="0" w:type="dxa"/>
              <w:right w:w="20" w:type="dxa"/>
            </w:tcMar>
          </w:tcPr>
          <w:p w14:paraId="7962D390"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los 10 días</w:t>
            </w:r>
            <w:r>
              <w:rPr>
                <w:rFonts w:ascii="Arial" w:eastAsia="Arial" w:hAnsi="Arial" w:cs="Arial"/>
                <w:sz w:val="16"/>
                <w:szCs w:val="16"/>
              </w:rPr>
              <w:br/>
              <w:t>hábiles siguientes</w:t>
            </w:r>
          </w:p>
        </w:tc>
        <w:tc>
          <w:tcPr>
            <w:tcW w:w="1755" w:type="dxa"/>
            <w:tcBorders>
              <w:top w:val="nil"/>
              <w:left w:val="nil"/>
              <w:bottom w:val="single" w:sz="6" w:space="0" w:color="434343"/>
              <w:right w:val="single" w:sz="6" w:space="0" w:color="434343"/>
            </w:tcBorders>
            <w:tcMar>
              <w:top w:w="20" w:type="dxa"/>
              <w:left w:w="20" w:type="dxa"/>
              <w:bottom w:w="0" w:type="dxa"/>
              <w:right w:w="20" w:type="dxa"/>
            </w:tcMar>
          </w:tcPr>
          <w:p w14:paraId="5F5B4507"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los 10 días hábiles siguientes</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4B74185A"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los 10 días hábiles siguientes</w:t>
            </w:r>
          </w:p>
        </w:tc>
      </w:tr>
    </w:tbl>
    <w:p w14:paraId="36A922B6" w14:textId="77777777" w:rsidR="00CF2D13" w:rsidRDefault="00EA5C62">
      <w:pPr>
        <w:spacing w:after="0" w:line="276" w:lineRule="auto"/>
        <w:jc w:val="center"/>
        <w:rPr>
          <w:rFonts w:ascii="Arial" w:eastAsia="Arial" w:hAnsi="Arial" w:cs="Arial"/>
          <w:sz w:val="12"/>
          <w:szCs w:val="12"/>
        </w:rPr>
      </w:pPr>
      <w:r>
        <w:rPr>
          <w:rFonts w:ascii="Arial" w:eastAsia="Arial" w:hAnsi="Arial" w:cs="Arial"/>
          <w:sz w:val="12"/>
          <w:szCs w:val="12"/>
        </w:rPr>
        <w:t>Fuente: Presentación Power Point RENOBO (2025), Comité Operativo No. 85 del 02 de octubre de 2025</w:t>
      </w:r>
    </w:p>
    <w:p w14:paraId="11A579BC"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143BDE11"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57C2F190" w14:textId="77777777" w:rsidR="00CF2D13" w:rsidRDefault="00EA5C62">
      <w:pPr>
        <w:spacing w:after="0" w:line="276" w:lineRule="auto"/>
        <w:jc w:val="both"/>
        <w:rPr>
          <w:rFonts w:ascii="Arial" w:eastAsia="Arial" w:hAnsi="Arial" w:cs="Arial"/>
        </w:rPr>
      </w:pPr>
      <w:r>
        <w:rPr>
          <w:rFonts w:ascii="Arial" w:eastAsia="Arial" w:hAnsi="Arial" w:cs="Arial"/>
        </w:rPr>
        <w:t>Actualmente, de conformidad con la información presentada por RENOBO en Comité operativo No. 85, se destacan los siguientes hitos:</w:t>
      </w:r>
    </w:p>
    <w:p w14:paraId="6CBA14C6"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39BBEC9C" w14:textId="77777777" w:rsidR="00CF2D13" w:rsidRDefault="00EA5C62">
      <w:pPr>
        <w:numPr>
          <w:ilvl w:val="0"/>
          <w:numId w:val="4"/>
        </w:numPr>
        <w:spacing w:after="0" w:line="276" w:lineRule="auto"/>
        <w:jc w:val="both"/>
      </w:pPr>
      <w:r>
        <w:rPr>
          <w:rFonts w:ascii="Arial" w:eastAsia="Arial" w:hAnsi="Arial" w:cs="Arial"/>
          <w:b/>
        </w:rPr>
        <w:t>Presentación de observaciones al informe de verificación y evaluación de las propuestas:</w:t>
      </w:r>
      <w:r>
        <w:rPr>
          <w:rFonts w:ascii="Arial" w:eastAsia="Arial" w:hAnsi="Arial" w:cs="Arial"/>
        </w:rPr>
        <w:t xml:space="preserve"> el plazo vence el </w:t>
      </w:r>
      <w:r>
        <w:rPr>
          <w:rFonts w:ascii="Arial" w:eastAsia="Arial" w:hAnsi="Arial" w:cs="Arial"/>
          <w:b/>
        </w:rPr>
        <w:t xml:space="preserve">3 de octubre de </w:t>
      </w:r>
      <w:r>
        <w:rPr>
          <w:rFonts w:ascii="Arial" w:eastAsia="Arial" w:hAnsi="Arial" w:cs="Arial"/>
          <w:b/>
        </w:rPr>
        <w:t>2025 a las 5:00 p. m.</w:t>
      </w:r>
    </w:p>
    <w:p w14:paraId="79710019" w14:textId="77777777" w:rsidR="00CF2D13" w:rsidRDefault="00EA5C62">
      <w:pPr>
        <w:numPr>
          <w:ilvl w:val="0"/>
          <w:numId w:val="4"/>
        </w:numPr>
        <w:spacing w:after="0" w:line="276" w:lineRule="auto"/>
        <w:jc w:val="both"/>
      </w:pPr>
      <w:r>
        <w:rPr>
          <w:rFonts w:ascii="Arial" w:eastAsia="Arial" w:hAnsi="Arial" w:cs="Arial"/>
          <w:b/>
        </w:rPr>
        <w:t>Publicación de la respuesta a observaciones y del informe definitivo de verificación:</w:t>
      </w:r>
      <w:r>
        <w:rPr>
          <w:rFonts w:ascii="Arial" w:eastAsia="Arial" w:hAnsi="Arial" w:cs="Arial"/>
        </w:rPr>
        <w:t xml:space="preserve"> programada para el </w:t>
      </w:r>
      <w:r>
        <w:rPr>
          <w:rFonts w:ascii="Arial" w:eastAsia="Arial" w:hAnsi="Arial" w:cs="Arial"/>
          <w:b/>
        </w:rPr>
        <w:t>8 de octubre de 2025.</w:t>
      </w:r>
    </w:p>
    <w:p w14:paraId="7F1DC0B4" w14:textId="77777777" w:rsidR="00CF2D13" w:rsidRDefault="00EA5C62">
      <w:pPr>
        <w:numPr>
          <w:ilvl w:val="0"/>
          <w:numId w:val="4"/>
        </w:numPr>
        <w:spacing w:after="0" w:line="276" w:lineRule="auto"/>
        <w:jc w:val="both"/>
      </w:pPr>
      <w:r>
        <w:rPr>
          <w:rFonts w:ascii="Arial" w:eastAsia="Arial" w:hAnsi="Arial" w:cs="Arial"/>
          <w:b/>
        </w:rPr>
        <w:t>Decisión de la mejor oferta y suscripción del contrato:</w:t>
      </w:r>
      <w:r>
        <w:rPr>
          <w:rFonts w:ascii="Arial" w:eastAsia="Arial" w:hAnsi="Arial" w:cs="Arial"/>
        </w:rPr>
        <w:t xml:space="preserve"> conforme a las reglas de la invitación, deberá adop</w:t>
      </w:r>
      <w:r>
        <w:rPr>
          <w:rFonts w:ascii="Arial" w:eastAsia="Arial" w:hAnsi="Arial" w:cs="Arial"/>
        </w:rPr>
        <w:t xml:space="preserve">tarse </w:t>
      </w:r>
      <w:r>
        <w:rPr>
          <w:rFonts w:ascii="Arial" w:eastAsia="Arial" w:hAnsi="Arial" w:cs="Arial"/>
          <w:b/>
        </w:rPr>
        <w:t>dentro de los dos (2) días hábiles siguientes</w:t>
      </w:r>
      <w:r>
        <w:rPr>
          <w:rFonts w:ascii="Arial" w:eastAsia="Arial" w:hAnsi="Arial" w:cs="Arial"/>
        </w:rPr>
        <w:t xml:space="preserve"> a la publicación del informe definitivo, es decir, inmediatamente después del 8 de octubre.</w:t>
      </w:r>
    </w:p>
    <w:p w14:paraId="3376C2E3" w14:textId="77777777" w:rsidR="00CF2D13" w:rsidRDefault="00EA5C62">
      <w:pPr>
        <w:numPr>
          <w:ilvl w:val="0"/>
          <w:numId w:val="4"/>
        </w:numPr>
        <w:spacing w:after="0" w:line="276" w:lineRule="auto"/>
        <w:jc w:val="both"/>
      </w:pPr>
      <w:r>
        <w:rPr>
          <w:rFonts w:ascii="Arial" w:eastAsia="Arial" w:hAnsi="Arial" w:cs="Arial"/>
          <w:b/>
        </w:rPr>
        <w:t>Suscripción formal del contrato:</w:t>
      </w:r>
      <w:r>
        <w:rPr>
          <w:rFonts w:ascii="Arial" w:eastAsia="Arial" w:hAnsi="Arial" w:cs="Arial"/>
        </w:rPr>
        <w:t xml:space="preserve"> se mantiene la regla de hacerlo </w:t>
      </w:r>
      <w:r>
        <w:rPr>
          <w:rFonts w:ascii="Arial" w:eastAsia="Arial" w:hAnsi="Arial" w:cs="Arial"/>
          <w:b/>
        </w:rPr>
        <w:t>dentro de los diez (10) días hábiles siguientes</w:t>
      </w:r>
      <w:r>
        <w:rPr>
          <w:rFonts w:ascii="Arial" w:eastAsia="Arial" w:hAnsi="Arial" w:cs="Arial"/>
        </w:rPr>
        <w:t xml:space="preserve"> a la adjudicación.</w:t>
      </w:r>
    </w:p>
    <w:p w14:paraId="6E1F3DED"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3F97A788" w14:textId="77777777" w:rsidR="00CF2D13" w:rsidRDefault="00EA5C62">
      <w:pPr>
        <w:spacing w:after="0" w:line="276" w:lineRule="auto"/>
        <w:jc w:val="both"/>
        <w:rPr>
          <w:rFonts w:ascii="Arial" w:eastAsia="Arial" w:hAnsi="Arial" w:cs="Arial"/>
        </w:rPr>
      </w:pPr>
      <w:r>
        <w:rPr>
          <w:rFonts w:ascii="Arial" w:eastAsia="Arial" w:hAnsi="Arial" w:cs="Arial"/>
        </w:rPr>
        <w:t xml:space="preserve">Con corte a 30 de septiembre de 2025, el informe preliminar de evaluación presenta 10 oferentes, de los cuales 6 cuentan con posibilidad de subsanar y 4 fueron inicialmente rechazados, algunos por oferta económica no conforme y otros </w:t>
      </w:r>
      <w:r>
        <w:rPr>
          <w:rFonts w:ascii="Arial" w:eastAsia="Arial" w:hAnsi="Arial" w:cs="Arial"/>
        </w:rPr>
        <w:t>por aparecer en listas restrictivas de SARLAFT.</w:t>
      </w:r>
    </w:p>
    <w:p w14:paraId="3802DEC1"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61285D7D" w14:textId="77777777" w:rsidR="00CF2D13" w:rsidRDefault="00EA5C62">
      <w:pPr>
        <w:spacing w:after="0" w:line="276" w:lineRule="auto"/>
        <w:jc w:val="both"/>
        <w:rPr>
          <w:rFonts w:ascii="Arial" w:eastAsia="Arial" w:hAnsi="Arial" w:cs="Arial"/>
        </w:rPr>
      </w:pPr>
      <w:r>
        <w:rPr>
          <w:rFonts w:ascii="Arial" w:eastAsia="Arial" w:hAnsi="Arial" w:cs="Arial"/>
        </w:rPr>
        <w:t>De esta manera, RENOBO enfatizó que, con el cierre de observaciones previsto para el 3 de octubre y la publicación del informe definitivo el 8 de octubre, el proceso entrará en su fase conclusiva de evaluación, decisión y adjudicación, asegurando el cumpli</w:t>
      </w:r>
      <w:r>
        <w:rPr>
          <w:rFonts w:ascii="Arial" w:eastAsia="Arial" w:hAnsi="Arial" w:cs="Arial"/>
        </w:rPr>
        <w:t>miento del principio de celeridad y la continuidad de la ejecución contractual.</w:t>
      </w:r>
    </w:p>
    <w:p w14:paraId="64977A45"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223A9E8E" w14:textId="77777777" w:rsidR="00CF2D13" w:rsidRDefault="00EA5C62">
      <w:pPr>
        <w:spacing w:after="0" w:line="276" w:lineRule="auto"/>
        <w:jc w:val="both"/>
        <w:rPr>
          <w:rFonts w:ascii="Arial" w:eastAsia="Arial" w:hAnsi="Arial" w:cs="Arial"/>
          <w:b/>
        </w:rPr>
      </w:pPr>
      <w:r>
        <w:rPr>
          <w:rFonts w:ascii="Arial" w:eastAsia="Arial" w:hAnsi="Arial" w:cs="Arial"/>
          <w:b/>
        </w:rPr>
        <w:t>Proceso de selección de interventoría Etapa 2 (RENOBO-IS-04-2025)</w:t>
      </w:r>
    </w:p>
    <w:p w14:paraId="3DE1803B"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0F013EB0" w14:textId="77777777" w:rsidR="00CF2D13" w:rsidRDefault="00EA5C62">
      <w:pPr>
        <w:numPr>
          <w:ilvl w:val="0"/>
          <w:numId w:val="7"/>
        </w:numPr>
        <w:spacing w:after="0" w:line="276" w:lineRule="auto"/>
        <w:jc w:val="both"/>
      </w:pPr>
      <w:r>
        <w:rPr>
          <w:rFonts w:ascii="Arial" w:eastAsia="Arial" w:hAnsi="Arial" w:cs="Arial"/>
        </w:rPr>
        <w:t>Tiene por objeto la supervisión integral de las obras mencionadas, con un presupuesto de $2.673.566.607. S</w:t>
      </w:r>
      <w:r>
        <w:rPr>
          <w:rFonts w:ascii="Arial" w:eastAsia="Arial" w:hAnsi="Arial" w:cs="Arial"/>
        </w:rPr>
        <w:t>u alcance abarca igualmente el sótano de parqueaderos, la plazoleta y el punto fijo de ascensores.</w:t>
      </w:r>
    </w:p>
    <w:p w14:paraId="3DCEA4F4"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3B9AF544"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42BFF643" w14:textId="77777777" w:rsidR="00CF2D13" w:rsidRDefault="00EA5C62">
      <w:pPr>
        <w:spacing w:after="0" w:line="276" w:lineRule="auto"/>
        <w:jc w:val="both"/>
        <w:rPr>
          <w:rFonts w:ascii="Arial" w:eastAsia="Arial" w:hAnsi="Arial" w:cs="Arial"/>
        </w:rPr>
      </w:pPr>
      <w:r>
        <w:rPr>
          <w:rFonts w:ascii="Arial" w:eastAsia="Arial" w:hAnsi="Arial" w:cs="Arial"/>
        </w:rPr>
        <w:t>En comité operativo No. 85, del 2 de octubre de 2025, RENOBO presentó el siguiente cronograma para el proceso de selección.</w:t>
      </w:r>
    </w:p>
    <w:p w14:paraId="595749E5"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tbl>
      <w:tblPr>
        <w:tblStyle w:val="a1"/>
        <w:tblW w:w="838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115"/>
        <w:gridCol w:w="2085"/>
        <w:gridCol w:w="2100"/>
        <w:gridCol w:w="2085"/>
      </w:tblGrid>
      <w:tr w:rsidR="00CF2D13" w14:paraId="7226ECF4" w14:textId="77777777">
        <w:trPr>
          <w:trHeight w:val="210"/>
        </w:trPr>
        <w:tc>
          <w:tcPr>
            <w:tcW w:w="2115" w:type="dxa"/>
            <w:tcBorders>
              <w:top w:val="single" w:sz="6" w:space="0" w:color="434343"/>
              <w:left w:val="single" w:sz="6" w:space="0" w:color="434343"/>
              <w:bottom w:val="single" w:sz="6" w:space="0" w:color="434343"/>
              <w:right w:val="single" w:sz="6" w:space="0" w:color="434343"/>
            </w:tcBorders>
            <w:shd w:val="clear" w:color="auto" w:fill="333333"/>
            <w:tcMar>
              <w:top w:w="20" w:type="dxa"/>
              <w:left w:w="20" w:type="dxa"/>
              <w:bottom w:w="0" w:type="dxa"/>
              <w:right w:w="20" w:type="dxa"/>
            </w:tcMar>
          </w:tcPr>
          <w:p w14:paraId="04BAC311" w14:textId="77777777" w:rsidR="00CF2D13" w:rsidRDefault="00EA5C62">
            <w:pPr>
              <w:spacing w:after="0" w:line="276" w:lineRule="auto"/>
              <w:jc w:val="center"/>
              <w:rPr>
                <w:rFonts w:ascii="Arial" w:eastAsia="Arial" w:hAnsi="Arial" w:cs="Arial"/>
                <w:b/>
                <w:sz w:val="16"/>
                <w:szCs w:val="16"/>
              </w:rPr>
            </w:pPr>
            <w:r>
              <w:rPr>
                <w:rFonts w:ascii="Arial" w:eastAsia="Arial" w:hAnsi="Arial" w:cs="Arial"/>
                <w:b/>
                <w:sz w:val="16"/>
                <w:szCs w:val="16"/>
              </w:rPr>
              <w:lastRenderedPageBreak/>
              <w:t>CONCEPTO</w:t>
            </w:r>
          </w:p>
        </w:tc>
        <w:tc>
          <w:tcPr>
            <w:tcW w:w="2085" w:type="dxa"/>
            <w:tcBorders>
              <w:top w:val="single" w:sz="6" w:space="0" w:color="434343"/>
              <w:left w:val="nil"/>
              <w:bottom w:val="single" w:sz="6" w:space="0" w:color="434343"/>
              <w:right w:val="single" w:sz="6" w:space="0" w:color="434343"/>
            </w:tcBorders>
            <w:shd w:val="clear" w:color="auto" w:fill="333333"/>
            <w:tcMar>
              <w:top w:w="20" w:type="dxa"/>
              <w:left w:w="20" w:type="dxa"/>
              <w:bottom w:w="0" w:type="dxa"/>
              <w:right w:w="20" w:type="dxa"/>
            </w:tcMar>
          </w:tcPr>
          <w:p w14:paraId="0BDA13BC" w14:textId="77777777" w:rsidR="00CF2D13" w:rsidRDefault="00EA5C62">
            <w:pPr>
              <w:spacing w:after="0" w:line="276" w:lineRule="auto"/>
              <w:jc w:val="center"/>
              <w:rPr>
                <w:rFonts w:ascii="Arial" w:eastAsia="Arial" w:hAnsi="Arial" w:cs="Arial"/>
                <w:b/>
                <w:color w:val="FFFFFF"/>
                <w:sz w:val="16"/>
                <w:szCs w:val="16"/>
              </w:rPr>
            </w:pPr>
            <w:r>
              <w:rPr>
                <w:rFonts w:ascii="Arial" w:eastAsia="Arial" w:hAnsi="Arial" w:cs="Arial"/>
                <w:b/>
                <w:color w:val="FFFFFF"/>
                <w:sz w:val="16"/>
                <w:szCs w:val="16"/>
              </w:rPr>
              <w:t>INICIAL</w:t>
            </w:r>
          </w:p>
        </w:tc>
        <w:tc>
          <w:tcPr>
            <w:tcW w:w="2100" w:type="dxa"/>
            <w:tcBorders>
              <w:top w:val="single" w:sz="6" w:space="0" w:color="434343"/>
              <w:left w:val="nil"/>
              <w:bottom w:val="single" w:sz="6" w:space="0" w:color="434343"/>
              <w:right w:val="single" w:sz="6" w:space="0" w:color="434343"/>
            </w:tcBorders>
            <w:shd w:val="clear" w:color="auto" w:fill="333333"/>
            <w:tcMar>
              <w:top w:w="20" w:type="dxa"/>
              <w:left w:w="20" w:type="dxa"/>
              <w:bottom w:w="0" w:type="dxa"/>
              <w:right w:w="20" w:type="dxa"/>
            </w:tcMar>
          </w:tcPr>
          <w:p w14:paraId="4833BB62" w14:textId="77777777" w:rsidR="00CF2D13" w:rsidRDefault="00EA5C62">
            <w:pPr>
              <w:spacing w:after="0" w:line="276" w:lineRule="auto"/>
              <w:jc w:val="center"/>
              <w:rPr>
                <w:rFonts w:ascii="Arial" w:eastAsia="Arial" w:hAnsi="Arial" w:cs="Arial"/>
                <w:b/>
                <w:color w:val="FFFFFF"/>
                <w:sz w:val="16"/>
                <w:szCs w:val="16"/>
              </w:rPr>
            </w:pPr>
            <w:r>
              <w:rPr>
                <w:rFonts w:ascii="Arial" w:eastAsia="Arial" w:hAnsi="Arial" w:cs="Arial"/>
                <w:b/>
                <w:color w:val="FFFFFF"/>
                <w:sz w:val="16"/>
                <w:szCs w:val="16"/>
              </w:rPr>
              <w:t>ADENDAS ANTERIORES</w:t>
            </w:r>
          </w:p>
        </w:tc>
        <w:tc>
          <w:tcPr>
            <w:tcW w:w="2085" w:type="dxa"/>
            <w:tcBorders>
              <w:top w:val="single" w:sz="6" w:space="0" w:color="434343"/>
              <w:left w:val="nil"/>
              <w:bottom w:val="single" w:sz="6" w:space="0" w:color="434343"/>
              <w:right w:val="single" w:sz="6" w:space="0" w:color="434343"/>
            </w:tcBorders>
            <w:shd w:val="clear" w:color="auto" w:fill="333333"/>
            <w:tcMar>
              <w:top w:w="20" w:type="dxa"/>
              <w:left w:w="20" w:type="dxa"/>
              <w:bottom w:w="0" w:type="dxa"/>
              <w:right w:w="20" w:type="dxa"/>
            </w:tcMar>
          </w:tcPr>
          <w:p w14:paraId="03A87F43" w14:textId="77777777" w:rsidR="00CF2D13" w:rsidRDefault="00EA5C62">
            <w:pPr>
              <w:spacing w:after="0" w:line="276" w:lineRule="auto"/>
              <w:jc w:val="center"/>
              <w:rPr>
                <w:rFonts w:ascii="Arial" w:eastAsia="Arial" w:hAnsi="Arial" w:cs="Arial"/>
                <w:b/>
                <w:color w:val="FFFFFF"/>
                <w:sz w:val="16"/>
                <w:szCs w:val="16"/>
              </w:rPr>
            </w:pPr>
            <w:r>
              <w:rPr>
                <w:rFonts w:ascii="Arial" w:eastAsia="Arial" w:hAnsi="Arial" w:cs="Arial"/>
                <w:b/>
                <w:color w:val="FFFFFF"/>
                <w:sz w:val="16"/>
                <w:szCs w:val="16"/>
              </w:rPr>
              <w:t>ACTUAL</w:t>
            </w:r>
          </w:p>
        </w:tc>
      </w:tr>
      <w:tr w:rsidR="00CF2D13" w14:paraId="4837E956" w14:textId="77777777">
        <w:trPr>
          <w:trHeight w:val="405"/>
        </w:trPr>
        <w:tc>
          <w:tcPr>
            <w:tcW w:w="2115"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5A5D2EA5"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Envío y publicación de la Invitación Simplificada</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43D36042"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15 de agosto de 2025</w:t>
            </w:r>
          </w:p>
        </w:tc>
        <w:tc>
          <w:tcPr>
            <w:tcW w:w="2100" w:type="dxa"/>
            <w:tcBorders>
              <w:top w:val="nil"/>
              <w:left w:val="nil"/>
              <w:bottom w:val="single" w:sz="6" w:space="0" w:color="434343"/>
              <w:right w:val="single" w:sz="6" w:space="0" w:color="434343"/>
            </w:tcBorders>
            <w:tcMar>
              <w:top w:w="20" w:type="dxa"/>
              <w:left w:w="20" w:type="dxa"/>
              <w:bottom w:w="0" w:type="dxa"/>
              <w:right w:w="20" w:type="dxa"/>
            </w:tcMar>
          </w:tcPr>
          <w:p w14:paraId="1F20A888"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 xml:space="preserve"> </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42EE3A1B" w14:textId="77777777" w:rsidR="00CF2D13" w:rsidRDefault="00CF2D13">
            <w:pPr>
              <w:spacing w:after="0" w:line="240" w:lineRule="auto"/>
              <w:jc w:val="center"/>
              <w:rPr>
                <w:rFonts w:ascii="Arial" w:eastAsia="Arial" w:hAnsi="Arial" w:cs="Arial"/>
                <w:sz w:val="20"/>
                <w:szCs w:val="20"/>
              </w:rPr>
            </w:pPr>
          </w:p>
        </w:tc>
      </w:tr>
      <w:tr w:rsidR="00CF2D13" w14:paraId="4792368E" w14:textId="77777777">
        <w:trPr>
          <w:trHeight w:val="405"/>
        </w:trPr>
        <w:tc>
          <w:tcPr>
            <w:tcW w:w="2115"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23FF65AE"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Recibo de observaciones</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17EC8B19"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25 de agosto de 2024 hasta las 5:00 p.m</w:t>
            </w:r>
          </w:p>
        </w:tc>
        <w:tc>
          <w:tcPr>
            <w:tcW w:w="2100" w:type="dxa"/>
            <w:tcBorders>
              <w:top w:val="nil"/>
              <w:left w:val="nil"/>
              <w:bottom w:val="single" w:sz="6" w:space="0" w:color="434343"/>
              <w:right w:val="single" w:sz="6" w:space="0" w:color="434343"/>
            </w:tcBorders>
            <w:tcMar>
              <w:top w:w="20" w:type="dxa"/>
              <w:left w:w="20" w:type="dxa"/>
              <w:bottom w:w="0" w:type="dxa"/>
              <w:right w:w="20" w:type="dxa"/>
            </w:tcMar>
          </w:tcPr>
          <w:p w14:paraId="68A0EB1D"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 xml:space="preserve"> </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006897BF" w14:textId="77777777" w:rsidR="00CF2D13" w:rsidRDefault="00CF2D13">
            <w:pPr>
              <w:spacing w:after="0" w:line="240" w:lineRule="auto"/>
              <w:jc w:val="center"/>
              <w:rPr>
                <w:rFonts w:ascii="Arial" w:eastAsia="Arial" w:hAnsi="Arial" w:cs="Arial"/>
                <w:sz w:val="20"/>
                <w:szCs w:val="20"/>
              </w:rPr>
            </w:pPr>
          </w:p>
        </w:tc>
      </w:tr>
      <w:tr w:rsidR="00CF2D13" w14:paraId="0A272EAF" w14:textId="77777777">
        <w:trPr>
          <w:trHeight w:val="570"/>
        </w:trPr>
        <w:tc>
          <w:tcPr>
            <w:tcW w:w="2115"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4F43B9F5"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Respuesta (s) a observaciones</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7441C218"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El 29 de agosto de 2025</w:t>
            </w:r>
          </w:p>
        </w:tc>
        <w:tc>
          <w:tcPr>
            <w:tcW w:w="2100" w:type="dxa"/>
            <w:tcBorders>
              <w:top w:val="nil"/>
              <w:left w:val="nil"/>
              <w:bottom w:val="single" w:sz="6" w:space="0" w:color="434343"/>
              <w:right w:val="single" w:sz="6" w:space="0" w:color="434343"/>
            </w:tcBorders>
            <w:tcMar>
              <w:top w:w="20" w:type="dxa"/>
              <w:left w:w="20" w:type="dxa"/>
              <w:bottom w:w="0" w:type="dxa"/>
              <w:right w:w="20" w:type="dxa"/>
            </w:tcMar>
          </w:tcPr>
          <w:p w14:paraId="19C0079C"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 xml:space="preserve">8 de septiembre de 2025 </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76F0ACEE" w14:textId="77777777" w:rsidR="00CF2D13" w:rsidRDefault="00CF2D13">
            <w:pPr>
              <w:spacing w:after="0" w:line="240" w:lineRule="auto"/>
              <w:jc w:val="center"/>
              <w:rPr>
                <w:rFonts w:ascii="Arial" w:eastAsia="Arial" w:hAnsi="Arial" w:cs="Arial"/>
                <w:sz w:val="20"/>
                <w:szCs w:val="20"/>
              </w:rPr>
            </w:pPr>
          </w:p>
        </w:tc>
      </w:tr>
      <w:tr w:rsidR="00CF2D13" w14:paraId="458E1DFC" w14:textId="77777777">
        <w:trPr>
          <w:trHeight w:val="795"/>
        </w:trPr>
        <w:tc>
          <w:tcPr>
            <w:tcW w:w="2115"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1C36ABBF"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Expedición de adendas si a ello hay lugar</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78676C64"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1 de septiembre de 2025 hasta las 7:00 p.m</w:t>
            </w:r>
          </w:p>
        </w:tc>
        <w:tc>
          <w:tcPr>
            <w:tcW w:w="2100" w:type="dxa"/>
            <w:tcBorders>
              <w:top w:val="nil"/>
              <w:left w:val="nil"/>
              <w:bottom w:val="single" w:sz="6" w:space="0" w:color="434343"/>
              <w:right w:val="single" w:sz="6" w:space="0" w:color="434343"/>
            </w:tcBorders>
            <w:tcMar>
              <w:top w:w="20" w:type="dxa"/>
              <w:left w:w="20" w:type="dxa"/>
              <w:bottom w:w="0" w:type="dxa"/>
              <w:right w:w="20" w:type="dxa"/>
            </w:tcMar>
          </w:tcPr>
          <w:p w14:paraId="32B62666"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9 de septiembre de 2025 hasta las 7:00 P.M.</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10EBEA74" w14:textId="77777777" w:rsidR="00CF2D13" w:rsidRDefault="00CF2D13">
            <w:pPr>
              <w:spacing w:after="0" w:line="240" w:lineRule="auto"/>
              <w:jc w:val="center"/>
              <w:rPr>
                <w:rFonts w:ascii="Arial" w:eastAsia="Arial" w:hAnsi="Arial" w:cs="Arial"/>
                <w:sz w:val="20"/>
                <w:szCs w:val="20"/>
              </w:rPr>
            </w:pPr>
          </w:p>
        </w:tc>
      </w:tr>
      <w:tr w:rsidR="00CF2D13" w14:paraId="2D24E51C" w14:textId="77777777">
        <w:trPr>
          <w:trHeight w:val="435"/>
        </w:trPr>
        <w:tc>
          <w:tcPr>
            <w:tcW w:w="2115"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78212F13"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Presentación de Ofertas y cierre de la invitación</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2C17E6A3"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5:00 PM del 5 de septiembre 2025</w:t>
            </w:r>
          </w:p>
        </w:tc>
        <w:tc>
          <w:tcPr>
            <w:tcW w:w="2100" w:type="dxa"/>
            <w:tcBorders>
              <w:top w:val="nil"/>
              <w:left w:val="nil"/>
              <w:bottom w:val="single" w:sz="6" w:space="0" w:color="434343"/>
              <w:right w:val="single" w:sz="6" w:space="0" w:color="434343"/>
            </w:tcBorders>
            <w:tcMar>
              <w:top w:w="20" w:type="dxa"/>
              <w:left w:w="20" w:type="dxa"/>
              <w:bottom w:w="0" w:type="dxa"/>
              <w:right w:w="20" w:type="dxa"/>
            </w:tcMar>
          </w:tcPr>
          <w:p w14:paraId="2BF7C313"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15 de septiembre de 2025 hasta las 5:00 P.M.</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5B036ACB" w14:textId="77777777" w:rsidR="00CF2D13" w:rsidRDefault="00CF2D13">
            <w:pPr>
              <w:spacing w:after="0" w:line="240" w:lineRule="auto"/>
              <w:jc w:val="center"/>
              <w:rPr>
                <w:rFonts w:ascii="Arial" w:eastAsia="Arial" w:hAnsi="Arial" w:cs="Arial"/>
                <w:sz w:val="20"/>
                <w:szCs w:val="20"/>
              </w:rPr>
            </w:pPr>
          </w:p>
        </w:tc>
      </w:tr>
      <w:tr w:rsidR="00CF2D13" w14:paraId="449B25C5" w14:textId="77777777">
        <w:trPr>
          <w:trHeight w:val="735"/>
        </w:trPr>
        <w:tc>
          <w:tcPr>
            <w:tcW w:w="2115"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7B762435"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Publicación del Informe de evaluación preliminar</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7E57F891"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El 11 de septiembre de 2025</w:t>
            </w:r>
          </w:p>
        </w:tc>
        <w:tc>
          <w:tcPr>
            <w:tcW w:w="2100" w:type="dxa"/>
            <w:tcBorders>
              <w:top w:val="nil"/>
              <w:left w:val="nil"/>
              <w:bottom w:val="single" w:sz="6" w:space="0" w:color="434343"/>
              <w:right w:val="single" w:sz="6" w:space="0" w:color="434343"/>
            </w:tcBorders>
            <w:tcMar>
              <w:top w:w="20" w:type="dxa"/>
              <w:left w:w="20" w:type="dxa"/>
              <w:bottom w:w="0" w:type="dxa"/>
              <w:right w:w="20" w:type="dxa"/>
            </w:tcMar>
          </w:tcPr>
          <w:p w14:paraId="0FE7C17F"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19 de septiembre de 2025</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48F6F17D"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1 de octubre de 2025</w:t>
            </w:r>
          </w:p>
        </w:tc>
      </w:tr>
      <w:tr w:rsidR="00CF2D13" w14:paraId="2067F2DC" w14:textId="77777777">
        <w:trPr>
          <w:trHeight w:val="780"/>
        </w:trPr>
        <w:tc>
          <w:tcPr>
            <w:tcW w:w="2115"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0F04DCD9"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*Observaciones al informe de evaluación preliminar y subsanaciones de la propuesta</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489921FC"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16 de septiembre de 2025 hasta las 5:00 p.m</w:t>
            </w:r>
          </w:p>
        </w:tc>
        <w:tc>
          <w:tcPr>
            <w:tcW w:w="2100" w:type="dxa"/>
            <w:tcBorders>
              <w:top w:val="nil"/>
              <w:left w:val="nil"/>
              <w:bottom w:val="single" w:sz="6" w:space="0" w:color="434343"/>
              <w:right w:val="single" w:sz="6" w:space="0" w:color="434343"/>
            </w:tcBorders>
            <w:tcMar>
              <w:top w:w="20" w:type="dxa"/>
              <w:left w:w="20" w:type="dxa"/>
              <w:bottom w:w="0" w:type="dxa"/>
              <w:right w:w="20" w:type="dxa"/>
            </w:tcMar>
          </w:tcPr>
          <w:p w14:paraId="35B9A062"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24 de septiembre de 2025 hasta las 5:00 P.M.</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2D4A8F4B"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Hasta el 6 de octubre de 2025 hasta las 5:00 P.M</w:t>
            </w:r>
          </w:p>
        </w:tc>
      </w:tr>
      <w:tr w:rsidR="00CF2D13" w14:paraId="0A348562" w14:textId="77777777">
        <w:trPr>
          <w:trHeight w:val="810"/>
        </w:trPr>
        <w:tc>
          <w:tcPr>
            <w:tcW w:w="2115"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4EDCA7C1"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Respuesta a Observaciones y publicación del informe de evaluación</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021C7C0C"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 xml:space="preserve">El 19 de septiembre de 2025 </w:t>
            </w:r>
          </w:p>
        </w:tc>
        <w:tc>
          <w:tcPr>
            <w:tcW w:w="2100" w:type="dxa"/>
            <w:tcBorders>
              <w:top w:val="nil"/>
              <w:left w:val="nil"/>
              <w:bottom w:val="single" w:sz="6" w:space="0" w:color="434343"/>
              <w:right w:val="single" w:sz="6" w:space="0" w:color="434343"/>
            </w:tcBorders>
            <w:tcMar>
              <w:top w:w="20" w:type="dxa"/>
              <w:left w:w="20" w:type="dxa"/>
              <w:bottom w:w="0" w:type="dxa"/>
              <w:right w:w="20" w:type="dxa"/>
            </w:tcMar>
          </w:tcPr>
          <w:p w14:paraId="19CF7F2D"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29 de septiembre de 2025</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484E9846"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9 de octubre de 2025</w:t>
            </w:r>
          </w:p>
        </w:tc>
      </w:tr>
      <w:tr w:rsidR="00CF2D13" w14:paraId="7A66C43B" w14:textId="77777777">
        <w:trPr>
          <w:trHeight w:val="840"/>
        </w:trPr>
        <w:tc>
          <w:tcPr>
            <w:tcW w:w="2115"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1BEDACD0"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Decisión y comunicación de la mejor oferta (Audiencia aplicará si hay empate)</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080B617C"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 dos (2) días siguientes</w:t>
            </w:r>
          </w:p>
        </w:tc>
        <w:tc>
          <w:tcPr>
            <w:tcW w:w="2100" w:type="dxa"/>
            <w:tcBorders>
              <w:top w:val="nil"/>
              <w:left w:val="nil"/>
              <w:bottom w:val="single" w:sz="6" w:space="0" w:color="434343"/>
              <w:right w:val="single" w:sz="6" w:space="0" w:color="434343"/>
            </w:tcBorders>
            <w:tcMar>
              <w:top w:w="20" w:type="dxa"/>
              <w:left w:w="20" w:type="dxa"/>
              <w:bottom w:w="0" w:type="dxa"/>
              <w:right w:w="20" w:type="dxa"/>
            </w:tcMar>
          </w:tcPr>
          <w:p w14:paraId="37A7952F"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 dos (2) días siguientes</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3312FC53"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 dos (2) días siguientes</w:t>
            </w:r>
          </w:p>
        </w:tc>
      </w:tr>
      <w:tr w:rsidR="00CF2D13" w14:paraId="20FAF888" w14:textId="77777777">
        <w:trPr>
          <w:trHeight w:val="840"/>
        </w:trPr>
        <w:tc>
          <w:tcPr>
            <w:tcW w:w="2115" w:type="dxa"/>
            <w:tcBorders>
              <w:top w:val="nil"/>
              <w:left w:val="single" w:sz="6" w:space="0" w:color="434343"/>
              <w:bottom w:val="single" w:sz="6" w:space="0" w:color="434343"/>
              <w:right w:val="single" w:sz="6" w:space="0" w:color="434343"/>
            </w:tcBorders>
            <w:tcMar>
              <w:top w:w="20" w:type="dxa"/>
              <w:left w:w="20" w:type="dxa"/>
              <w:bottom w:w="0" w:type="dxa"/>
              <w:right w:w="20" w:type="dxa"/>
            </w:tcMar>
            <w:vAlign w:val="bottom"/>
          </w:tcPr>
          <w:p w14:paraId="53830198"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Perfeccionamiento del contrato</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63E10F4A"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los seis (6) días siguientes</w:t>
            </w:r>
          </w:p>
        </w:tc>
        <w:tc>
          <w:tcPr>
            <w:tcW w:w="2100" w:type="dxa"/>
            <w:tcBorders>
              <w:top w:val="nil"/>
              <w:left w:val="nil"/>
              <w:bottom w:val="single" w:sz="6" w:space="0" w:color="434343"/>
              <w:right w:val="single" w:sz="6" w:space="0" w:color="434343"/>
            </w:tcBorders>
            <w:tcMar>
              <w:top w:w="20" w:type="dxa"/>
              <w:left w:w="20" w:type="dxa"/>
              <w:bottom w:w="0" w:type="dxa"/>
              <w:right w:w="20" w:type="dxa"/>
            </w:tcMar>
          </w:tcPr>
          <w:p w14:paraId="4C147960"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los 10 días hábiles siguientes</w:t>
            </w:r>
          </w:p>
        </w:tc>
        <w:tc>
          <w:tcPr>
            <w:tcW w:w="2085" w:type="dxa"/>
            <w:tcBorders>
              <w:top w:val="nil"/>
              <w:left w:val="nil"/>
              <w:bottom w:val="single" w:sz="6" w:space="0" w:color="434343"/>
              <w:right w:val="single" w:sz="6" w:space="0" w:color="434343"/>
            </w:tcBorders>
            <w:tcMar>
              <w:top w:w="20" w:type="dxa"/>
              <w:left w:w="20" w:type="dxa"/>
              <w:bottom w:w="0" w:type="dxa"/>
              <w:right w:w="20" w:type="dxa"/>
            </w:tcMar>
          </w:tcPr>
          <w:p w14:paraId="48813C81" w14:textId="77777777" w:rsidR="00CF2D13" w:rsidRDefault="00EA5C62">
            <w:pPr>
              <w:spacing w:after="0" w:line="276" w:lineRule="auto"/>
              <w:jc w:val="both"/>
              <w:rPr>
                <w:rFonts w:ascii="Arial" w:eastAsia="Arial" w:hAnsi="Arial" w:cs="Arial"/>
                <w:sz w:val="16"/>
                <w:szCs w:val="16"/>
              </w:rPr>
            </w:pPr>
            <w:r>
              <w:rPr>
                <w:rFonts w:ascii="Arial" w:eastAsia="Arial" w:hAnsi="Arial" w:cs="Arial"/>
                <w:sz w:val="16"/>
                <w:szCs w:val="16"/>
              </w:rPr>
              <w:t>Dentro de los 10 días hábiles siguientes</w:t>
            </w:r>
          </w:p>
        </w:tc>
      </w:tr>
    </w:tbl>
    <w:p w14:paraId="571D40D0"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 xml:space="preserve"> </w:t>
      </w:r>
    </w:p>
    <w:p w14:paraId="184C4960"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En la misma sesión de comité, RENOBO manifestó que en el informe preliminar de evaluación se recomend</w:t>
      </w:r>
      <w:r>
        <w:rPr>
          <w:rFonts w:ascii="Arial" w:eastAsia="Arial" w:hAnsi="Arial" w:cs="Arial"/>
          <w:sz w:val="20"/>
          <w:szCs w:val="20"/>
        </w:rPr>
        <w:t>aba la declaratoria de desierta del proceso, dado que los tres proponentes habilitados inicialmente presentaron causales de rechazo:</w:t>
      </w:r>
    </w:p>
    <w:p w14:paraId="41A7AB3C"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 xml:space="preserve"> </w:t>
      </w:r>
    </w:p>
    <w:p w14:paraId="586101F3" w14:textId="77777777" w:rsidR="00CF2D13" w:rsidRDefault="00EA5C62">
      <w:pPr>
        <w:numPr>
          <w:ilvl w:val="0"/>
          <w:numId w:val="8"/>
        </w:numPr>
        <w:spacing w:after="0" w:line="276" w:lineRule="auto"/>
        <w:jc w:val="both"/>
      </w:pPr>
      <w:r>
        <w:rPr>
          <w:rFonts w:ascii="Arial" w:eastAsia="Arial" w:hAnsi="Arial" w:cs="Arial"/>
          <w:sz w:val="20"/>
          <w:szCs w:val="20"/>
        </w:rPr>
        <w:t>Uno por inclusión en listas restrictivas SARLAFT,</w:t>
      </w:r>
    </w:p>
    <w:p w14:paraId="1C94A95C" w14:textId="77777777" w:rsidR="00CF2D13" w:rsidRDefault="00EA5C62">
      <w:pPr>
        <w:numPr>
          <w:ilvl w:val="0"/>
          <w:numId w:val="8"/>
        </w:numPr>
        <w:spacing w:after="0" w:line="276" w:lineRule="auto"/>
        <w:jc w:val="both"/>
      </w:pPr>
      <w:r>
        <w:rPr>
          <w:rFonts w:ascii="Arial" w:eastAsia="Arial" w:hAnsi="Arial" w:cs="Arial"/>
          <w:sz w:val="20"/>
          <w:szCs w:val="20"/>
        </w:rPr>
        <w:t>Otro por no presentar oferta económica,</w:t>
      </w:r>
    </w:p>
    <w:p w14:paraId="0E31FF59" w14:textId="77777777" w:rsidR="00CF2D13" w:rsidRDefault="00EA5C62">
      <w:pPr>
        <w:numPr>
          <w:ilvl w:val="0"/>
          <w:numId w:val="8"/>
        </w:numPr>
        <w:spacing w:after="0" w:line="276" w:lineRule="auto"/>
        <w:jc w:val="both"/>
      </w:pPr>
      <w:r>
        <w:rPr>
          <w:rFonts w:ascii="Arial" w:eastAsia="Arial" w:hAnsi="Arial" w:cs="Arial"/>
          <w:sz w:val="20"/>
          <w:szCs w:val="20"/>
        </w:rPr>
        <w:t>Y un tercero por asociación con</w:t>
      </w:r>
      <w:r>
        <w:rPr>
          <w:rFonts w:ascii="Arial" w:eastAsia="Arial" w:hAnsi="Arial" w:cs="Arial"/>
          <w:sz w:val="20"/>
          <w:szCs w:val="20"/>
        </w:rPr>
        <w:t xml:space="preserve"> persona inhabilitada en lista multiusos de RENOBO para interventorías.</w:t>
      </w:r>
    </w:p>
    <w:p w14:paraId="2F1DB367"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 xml:space="preserve"> </w:t>
      </w:r>
    </w:p>
    <w:p w14:paraId="2178477E"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Frente a este escenario, RENOBO señaló dos posibles caminos:</w:t>
      </w:r>
    </w:p>
    <w:p w14:paraId="1E5B74C8"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 xml:space="preserve"> </w:t>
      </w:r>
    </w:p>
    <w:p w14:paraId="359BE57D" w14:textId="77777777" w:rsidR="00CF2D13" w:rsidRDefault="00EA5C62">
      <w:pPr>
        <w:numPr>
          <w:ilvl w:val="0"/>
          <w:numId w:val="1"/>
        </w:numPr>
        <w:spacing w:after="0" w:line="276" w:lineRule="auto"/>
        <w:jc w:val="both"/>
      </w:pPr>
      <w:r>
        <w:rPr>
          <w:rFonts w:ascii="Arial" w:eastAsia="Arial" w:hAnsi="Arial" w:cs="Arial"/>
          <w:sz w:val="20"/>
          <w:szCs w:val="20"/>
        </w:rPr>
        <w:t>Invitar oferentes de la lista multiusos, que cuenta con aproximadamente 30 potenciales interventores, acotando los tiempos de selección.</w:t>
      </w:r>
    </w:p>
    <w:p w14:paraId="38BFB52B" w14:textId="77777777" w:rsidR="00CF2D13" w:rsidRDefault="00EA5C62">
      <w:pPr>
        <w:numPr>
          <w:ilvl w:val="0"/>
          <w:numId w:val="1"/>
        </w:numPr>
        <w:spacing w:after="0" w:line="276" w:lineRule="auto"/>
        <w:jc w:val="both"/>
      </w:pPr>
      <w:r>
        <w:rPr>
          <w:rFonts w:ascii="Arial" w:eastAsia="Arial" w:hAnsi="Arial" w:cs="Arial"/>
          <w:sz w:val="20"/>
          <w:szCs w:val="20"/>
        </w:rPr>
        <w:t>Abrir convocatoria pública nacional, ampliando el espectro de participación y reduciendo riesgos de inhabilidades reite</w:t>
      </w:r>
      <w:r>
        <w:rPr>
          <w:rFonts w:ascii="Arial" w:eastAsia="Arial" w:hAnsi="Arial" w:cs="Arial"/>
          <w:sz w:val="20"/>
          <w:szCs w:val="20"/>
        </w:rPr>
        <w:t>radas.</w:t>
      </w:r>
    </w:p>
    <w:p w14:paraId="2D95F469"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 xml:space="preserve"> </w:t>
      </w:r>
    </w:p>
    <w:p w14:paraId="6CCE260D"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lastRenderedPageBreak/>
        <w:t>Adicionalmente, resaltó que el Manual de Contratación de la entidad permite la aplicación de reglas propias que acortan los plazos frente a un concurso de méritos tradicional regido por la Ley 80, lo cual permitiría adelantar un proceso expedito y</w:t>
      </w:r>
      <w:r>
        <w:rPr>
          <w:rFonts w:ascii="Arial" w:eastAsia="Arial" w:hAnsi="Arial" w:cs="Arial"/>
          <w:sz w:val="20"/>
          <w:szCs w:val="20"/>
        </w:rPr>
        <w:t xml:space="preserve"> garantizar que la adjudicación de la interventoría sea paralela a la adjudicación del contrato de obra.</w:t>
      </w:r>
    </w:p>
    <w:p w14:paraId="3B96AC9F"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 xml:space="preserve"> </w:t>
      </w:r>
    </w:p>
    <w:p w14:paraId="1E6918D2"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En todo caso, RENOBO manifiesta que dicha situación no genera afectaciones sustanciales en los cronogramas presentados, dado que los plazos se mantie</w:t>
      </w:r>
      <w:r>
        <w:rPr>
          <w:rFonts w:ascii="Arial" w:eastAsia="Arial" w:hAnsi="Arial" w:cs="Arial"/>
          <w:sz w:val="20"/>
          <w:szCs w:val="20"/>
        </w:rPr>
        <w:t>nen dentro de los márgenes previstos. Indica que, considerando los ajustes derivados de la declaratoria de desierta del proceso de interventoría, podría presentarse un desplazamiento aproximado de diez (10) días frente a las fechas inicialmente proyectadas</w:t>
      </w:r>
      <w:r>
        <w:rPr>
          <w:rFonts w:ascii="Arial" w:eastAsia="Arial" w:hAnsi="Arial" w:cs="Arial"/>
          <w:sz w:val="20"/>
          <w:szCs w:val="20"/>
        </w:rPr>
        <w:t>, sin que ello implique modificaciones sustanciales del cronograma general. En consecuencia, prevé que hacia el 31 de octubre de 2025 ambos contratos — obra e interventoría — se encuentren perfeccionados y suscritos.</w:t>
      </w:r>
    </w:p>
    <w:p w14:paraId="40E9E796"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 xml:space="preserve"> </w:t>
      </w:r>
    </w:p>
    <w:p w14:paraId="68664147"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De igual manera, precisa que, una vez</w:t>
      </w:r>
      <w:r>
        <w:rPr>
          <w:rFonts w:ascii="Arial" w:eastAsia="Arial" w:hAnsi="Arial" w:cs="Arial"/>
          <w:sz w:val="20"/>
          <w:szCs w:val="20"/>
        </w:rPr>
        <w:t xml:space="preserve"> suscritos los contratos, deberán adelantarse las gestiones para la suscripción del acta de inicio, lo que incluye la constitución y aprobación de pólizas, la verificación de los requisitos de ejecución contractual, la revisión y aprobación de hojas de vid</w:t>
      </w:r>
      <w:r>
        <w:rPr>
          <w:rFonts w:ascii="Arial" w:eastAsia="Arial" w:hAnsi="Arial" w:cs="Arial"/>
          <w:sz w:val="20"/>
          <w:szCs w:val="20"/>
        </w:rPr>
        <w:t>a del personal técnico propuesto y demás trámites administrativos exigidos por la fiduciaria. En tal sentido, se proyecta que el inicio efectivo de la ejecución contractual tenga lugar hacia finales del mes de noviembre de 2025, una vez cumplidas todas las</w:t>
      </w:r>
      <w:r>
        <w:rPr>
          <w:rFonts w:ascii="Arial" w:eastAsia="Arial" w:hAnsi="Arial" w:cs="Arial"/>
          <w:sz w:val="20"/>
          <w:szCs w:val="20"/>
        </w:rPr>
        <w:t xml:space="preserve"> condiciones establecidas.</w:t>
      </w:r>
    </w:p>
    <w:p w14:paraId="35E32E30" w14:textId="77777777" w:rsidR="00CF2D13" w:rsidRDefault="00EA5C62">
      <w:pPr>
        <w:spacing w:after="0" w:line="276" w:lineRule="auto"/>
        <w:jc w:val="both"/>
        <w:rPr>
          <w:rFonts w:ascii="Arial" w:eastAsia="Arial" w:hAnsi="Arial" w:cs="Arial"/>
          <w:sz w:val="20"/>
          <w:szCs w:val="20"/>
        </w:rPr>
      </w:pPr>
      <w:r>
        <w:rPr>
          <w:rFonts w:ascii="Arial" w:eastAsia="Arial" w:hAnsi="Arial" w:cs="Arial"/>
          <w:sz w:val="20"/>
          <w:szCs w:val="20"/>
        </w:rPr>
        <w:t xml:space="preserve"> </w:t>
      </w:r>
    </w:p>
    <w:p w14:paraId="676FC8C4" w14:textId="77777777" w:rsidR="00CF2D13" w:rsidRDefault="00EA5C62">
      <w:pPr>
        <w:spacing w:after="0" w:line="276" w:lineRule="auto"/>
        <w:jc w:val="both"/>
        <w:rPr>
          <w:rFonts w:ascii="Arial" w:eastAsia="Arial" w:hAnsi="Arial" w:cs="Arial"/>
          <w:b/>
        </w:rPr>
      </w:pPr>
      <w:r>
        <w:rPr>
          <w:rFonts w:ascii="Arial" w:eastAsia="Arial" w:hAnsi="Arial" w:cs="Arial"/>
          <w:b/>
        </w:rPr>
        <w:t>IMPACTO SOCIOECONÓMICO DEL BDC</w:t>
      </w:r>
    </w:p>
    <w:p w14:paraId="46760588" w14:textId="77777777" w:rsidR="00CF2D13" w:rsidRDefault="00EA5C62">
      <w:pPr>
        <w:spacing w:after="0" w:line="276" w:lineRule="auto"/>
        <w:jc w:val="center"/>
        <w:rPr>
          <w:rFonts w:ascii="Arial" w:eastAsia="Arial" w:hAnsi="Arial" w:cs="Arial"/>
        </w:rPr>
      </w:pPr>
      <w:r>
        <w:rPr>
          <w:rFonts w:ascii="Arial" w:eastAsia="Arial" w:hAnsi="Arial" w:cs="Arial"/>
        </w:rPr>
        <w:t xml:space="preserve"> </w:t>
      </w:r>
    </w:p>
    <w:p w14:paraId="38BF15B0" w14:textId="77777777" w:rsidR="00CF2D13" w:rsidRDefault="00EA5C62">
      <w:pPr>
        <w:spacing w:after="0" w:line="276" w:lineRule="auto"/>
        <w:jc w:val="both"/>
        <w:rPr>
          <w:rFonts w:ascii="Arial" w:eastAsia="Arial" w:hAnsi="Arial" w:cs="Arial"/>
        </w:rPr>
      </w:pPr>
      <w:r>
        <w:rPr>
          <w:rFonts w:ascii="Arial" w:eastAsia="Arial" w:hAnsi="Arial" w:cs="Arial"/>
        </w:rPr>
        <w:t>Como se estableció en precedencia, el Bronx Distrito Creativo (BDC) fue concebido desde su génesis como un proyecto integral de transformación urbana, social y económica. En el marco del Contrato de Consultoría PAD-BDC-015 de 2021 celebrado entre la Alianz</w:t>
      </w:r>
      <w:r>
        <w:rPr>
          <w:rFonts w:ascii="Arial" w:eastAsia="Arial" w:hAnsi="Arial" w:cs="Arial"/>
        </w:rPr>
        <w:t>a Fiduciaria S. A., y la Unión Temporal C&amp;B-EY-D&amp;O, para la estructuración técnica, legal y financiera del modelo de operación y mantenimiento del BDC, el consultor elaboró un Informe de Evaluación Socioeconómica en el que se miden los beneficios sociales,</w:t>
      </w:r>
      <w:r>
        <w:rPr>
          <w:rFonts w:ascii="Arial" w:eastAsia="Arial" w:hAnsi="Arial" w:cs="Arial"/>
        </w:rPr>
        <w:t xml:space="preserve"> económicos y urbanos del BDC.</w:t>
      </w:r>
    </w:p>
    <w:p w14:paraId="15AFCE44"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1488CB91" w14:textId="77777777" w:rsidR="00CF2D13" w:rsidRDefault="00EA5C62">
      <w:pPr>
        <w:spacing w:after="0" w:line="276" w:lineRule="auto"/>
        <w:jc w:val="both"/>
        <w:rPr>
          <w:rFonts w:ascii="Arial" w:eastAsia="Arial" w:hAnsi="Arial" w:cs="Arial"/>
        </w:rPr>
      </w:pPr>
      <w:r>
        <w:rPr>
          <w:rFonts w:ascii="Arial" w:eastAsia="Arial" w:hAnsi="Arial" w:cs="Arial"/>
        </w:rPr>
        <w:t>El propósito fundamental del estudio fue determinar la viabilidad socioeconómica del Bronx Distrito Creativo como proyecto de interés público, confirmando que la inversión genera un retorno social positivo y contribuye al b</w:t>
      </w:r>
      <w:r>
        <w:rPr>
          <w:rFonts w:ascii="Arial" w:eastAsia="Arial" w:hAnsi="Arial" w:cs="Arial"/>
        </w:rPr>
        <w:t>ienestar colectivo de la ciudad.</w:t>
      </w:r>
    </w:p>
    <w:p w14:paraId="5EF62A61"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24C4A7A0" w14:textId="77777777" w:rsidR="00CF2D13" w:rsidRDefault="00EA5C62">
      <w:pPr>
        <w:spacing w:after="0" w:line="276" w:lineRule="auto"/>
        <w:jc w:val="both"/>
        <w:rPr>
          <w:rFonts w:ascii="Arial" w:eastAsia="Arial" w:hAnsi="Arial" w:cs="Arial"/>
        </w:rPr>
      </w:pPr>
      <w:r>
        <w:rPr>
          <w:rFonts w:ascii="Arial" w:eastAsia="Arial" w:hAnsi="Arial" w:cs="Arial"/>
        </w:rPr>
        <w:t>El análisis realizado por la Unión Temporal C&amp;B-EY-D&amp;O concluye que los impactos del Bronx Distrito Creativo no pueden asignarse individualmente a una etapa de obra, ya que los beneficios socioeconómicos solo se materiali</w:t>
      </w:r>
      <w:r>
        <w:rPr>
          <w:rFonts w:ascii="Arial" w:eastAsia="Arial" w:hAnsi="Arial" w:cs="Arial"/>
        </w:rPr>
        <w:t>zan cuando el conjunto de los activos —patrimoniales, creativos y de espacio público— funciona de manera articulada.</w:t>
      </w:r>
    </w:p>
    <w:p w14:paraId="275F7D8B"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155FFDDD" w14:textId="77777777" w:rsidR="00CF2D13" w:rsidRDefault="00EA5C62">
      <w:pPr>
        <w:spacing w:after="0" w:line="276" w:lineRule="auto"/>
        <w:jc w:val="both"/>
        <w:rPr>
          <w:rFonts w:ascii="Arial" w:eastAsia="Arial" w:hAnsi="Arial" w:cs="Arial"/>
        </w:rPr>
      </w:pPr>
      <w:r>
        <w:rPr>
          <w:rFonts w:ascii="Arial" w:eastAsia="Arial" w:hAnsi="Arial" w:cs="Arial"/>
        </w:rPr>
        <w:t>Por tanto, el impacto social y económico reportado en este informe corresponde al comportamiento integral del Proyecto Bronx Distrito Cre</w:t>
      </w:r>
      <w:r>
        <w:rPr>
          <w:rFonts w:ascii="Arial" w:eastAsia="Arial" w:hAnsi="Arial" w:cs="Arial"/>
        </w:rPr>
        <w:t xml:space="preserve">ativo, el cual constituye un polo de desarrollo urbano y cultural que contribuye a la revitalización del centro histórico de Bogotá </w:t>
      </w:r>
      <w:r>
        <w:rPr>
          <w:rFonts w:ascii="Arial" w:eastAsia="Arial" w:hAnsi="Arial" w:cs="Arial"/>
        </w:rPr>
        <w:lastRenderedPageBreak/>
        <w:t>y al cumplimiento de los objetivos del Plan de Desarrollo Distrital en materia de sostenibilidad, inclusión y economía creat</w:t>
      </w:r>
      <w:r>
        <w:rPr>
          <w:rFonts w:ascii="Arial" w:eastAsia="Arial" w:hAnsi="Arial" w:cs="Arial"/>
        </w:rPr>
        <w:t>iva.</w:t>
      </w:r>
    </w:p>
    <w:p w14:paraId="1E9ABBE3"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3126BA93" w14:textId="77777777" w:rsidR="00CF2D13" w:rsidRDefault="00EA5C62">
      <w:pPr>
        <w:spacing w:after="0" w:line="276" w:lineRule="auto"/>
        <w:jc w:val="both"/>
        <w:rPr>
          <w:rFonts w:ascii="Arial" w:eastAsia="Arial" w:hAnsi="Arial" w:cs="Arial"/>
          <w:b/>
        </w:rPr>
      </w:pPr>
      <w:r>
        <w:rPr>
          <w:rFonts w:ascii="Arial" w:eastAsia="Arial" w:hAnsi="Arial" w:cs="Arial"/>
          <w:b/>
        </w:rPr>
        <w:t>Impacto económico y social del Bronx Distrito Creativo</w:t>
      </w:r>
    </w:p>
    <w:p w14:paraId="35D05B57"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154CEC74" w14:textId="77777777" w:rsidR="00CF2D13" w:rsidRDefault="00EA5C62">
      <w:pPr>
        <w:spacing w:after="0" w:line="276" w:lineRule="auto"/>
        <w:jc w:val="both"/>
        <w:rPr>
          <w:rFonts w:ascii="Arial" w:eastAsia="Arial" w:hAnsi="Arial" w:cs="Arial"/>
          <w:b/>
        </w:rPr>
      </w:pPr>
      <w:r>
        <w:rPr>
          <w:rFonts w:ascii="Arial" w:eastAsia="Arial" w:hAnsi="Arial" w:cs="Arial"/>
          <w:b/>
        </w:rPr>
        <w:t>Beneficios cuantificables:</w:t>
      </w:r>
    </w:p>
    <w:p w14:paraId="4317DB6F"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0549FB22" w14:textId="77777777" w:rsidR="00CF2D13" w:rsidRDefault="00EA5C62">
      <w:pPr>
        <w:spacing w:after="0" w:line="276" w:lineRule="auto"/>
        <w:ind w:left="780" w:hanging="360"/>
        <w:jc w:val="both"/>
        <w:rPr>
          <w:rFonts w:ascii="Arial" w:eastAsia="Arial" w:hAnsi="Arial" w:cs="Arial"/>
          <w:b/>
        </w:rPr>
      </w:pPr>
      <w:r>
        <w:rPr>
          <w:rFonts w:ascii="Arial" w:eastAsia="Arial" w:hAnsi="Arial" w:cs="Arial"/>
          <w:b/>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Disminución del crimen</w:t>
      </w:r>
    </w:p>
    <w:p w14:paraId="0233F79C"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1EAECE40"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 xml:space="preserve">Proyección de reducción del 21,9 %: </w:t>
      </w:r>
      <w:r>
        <w:rPr>
          <w:rFonts w:ascii="Arial" w:eastAsia="Arial" w:hAnsi="Arial" w:cs="Arial"/>
        </w:rPr>
        <w:t>Estimación basada en el estudio Association Between Structural Housing Repairs for Low-Income Homeowners and Neighborhood Crime, que demuestra la correlación entre intervenciones urbanas integrales y disminución del crimen.</w:t>
      </w:r>
    </w:p>
    <w:p w14:paraId="332B3808"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1C116007"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 xml:space="preserve">Áreas de impacto: </w:t>
      </w:r>
      <w:r>
        <w:rPr>
          <w:rFonts w:ascii="Arial" w:eastAsia="Arial" w:hAnsi="Arial" w:cs="Arial"/>
        </w:rPr>
        <w:t>Delitos</w:t>
      </w:r>
      <w:r>
        <w:rPr>
          <w:rFonts w:ascii="Arial" w:eastAsia="Arial" w:hAnsi="Arial" w:cs="Arial"/>
        </w:rPr>
        <w:t xml:space="preserve"> como homicidios, hurtos a personas, comercios, automotores y lesiones personales en el barrio Voto Nacional.</w:t>
      </w:r>
    </w:p>
    <w:p w14:paraId="619DAD34"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790A9AB9"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 xml:space="preserve">Valoración económica: </w:t>
      </w:r>
      <w:r>
        <w:rPr>
          <w:rFonts w:ascii="Arial" w:eastAsia="Arial" w:hAnsi="Arial" w:cs="Arial"/>
        </w:rPr>
        <w:t>Cálculo del costo social de los crímenes según el estudio Cost of Crime and Justice (Cohen, 2015), ajustado por infla</w:t>
      </w:r>
      <w:r>
        <w:rPr>
          <w:rFonts w:ascii="Arial" w:eastAsia="Arial" w:hAnsi="Arial" w:cs="Arial"/>
        </w:rPr>
        <w:t>ción y paridad del poder adquisitivo (PPA) entre Reino Unido y Colombia.</w:t>
      </w:r>
    </w:p>
    <w:p w14:paraId="26DEAE8F"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47DB6776"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Beneficio estimado</w:t>
      </w:r>
      <w:r>
        <w:rPr>
          <w:rFonts w:ascii="Arial" w:eastAsia="Arial" w:hAnsi="Arial" w:cs="Arial"/>
        </w:rPr>
        <w:t>: COP 54.482 millones, considerando que el área de influencia directa del proyecto representa el 36,81 % del barrio Voto Nacional.</w:t>
      </w:r>
    </w:p>
    <w:p w14:paraId="471CE698"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3AC72F0F" w14:textId="77777777" w:rsidR="00CF2D13" w:rsidRDefault="00EA5C62">
      <w:pPr>
        <w:spacing w:after="0" w:line="276" w:lineRule="auto"/>
        <w:ind w:left="720" w:hanging="360"/>
        <w:jc w:val="both"/>
        <w:rPr>
          <w:rFonts w:ascii="Arial" w:eastAsia="Arial" w:hAnsi="Arial" w:cs="Arial"/>
          <w:b/>
        </w:rPr>
      </w:pPr>
      <w:r>
        <w:rPr>
          <w:rFonts w:ascii="Arial" w:eastAsia="Arial" w:hAnsi="Arial" w:cs="Arial"/>
          <w:b/>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Recuperación del espa</w:t>
      </w:r>
      <w:r>
        <w:rPr>
          <w:rFonts w:ascii="Arial" w:eastAsia="Arial" w:hAnsi="Arial" w:cs="Arial"/>
          <w:b/>
        </w:rPr>
        <w:t>cio público</w:t>
      </w:r>
    </w:p>
    <w:p w14:paraId="06652420"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712792A6"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 xml:space="preserve">Intervención de 9.885 m²: </w:t>
      </w:r>
      <w:r>
        <w:rPr>
          <w:rFonts w:ascii="Arial" w:eastAsia="Arial" w:hAnsi="Arial" w:cs="Arial"/>
        </w:rPr>
        <w:t>Comprende la Plaza Avenida Caracas (2.580 m²), La Milla (2.630 m²) y la Superficie Temporal P1 (4.675 m²), destinadas a actividades culturales y recreativas.</w:t>
      </w:r>
    </w:p>
    <w:p w14:paraId="1631DEE5"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1240C2F2"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 xml:space="preserve">Valoración económica: </w:t>
      </w:r>
      <w:r>
        <w:rPr>
          <w:rFonts w:ascii="Arial" w:eastAsia="Arial" w:hAnsi="Arial" w:cs="Arial"/>
        </w:rPr>
        <w:t>Cálculo del valor del metro cuadrado ajustado con el Índice de Precios de Vivienda Usada (IPVU) del Banco de la República, estimando un beneficio de COP 2.922 millones.</w:t>
      </w:r>
    </w:p>
    <w:p w14:paraId="598389E4"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264DD0B6"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 xml:space="preserve">Impacto duradero: </w:t>
      </w:r>
      <w:r>
        <w:rPr>
          <w:rFonts w:ascii="Arial" w:eastAsia="Arial" w:hAnsi="Arial" w:cs="Arial"/>
        </w:rPr>
        <w:t>Las áreas serán mantenidas y operadas de forma sostenible, con</w:t>
      </w:r>
      <w:r>
        <w:rPr>
          <w:rFonts w:ascii="Arial" w:eastAsia="Arial" w:hAnsi="Arial" w:cs="Arial"/>
        </w:rPr>
        <w:t>solidando la revitalización urbana del sector.</w:t>
      </w:r>
    </w:p>
    <w:p w14:paraId="124CAAA4"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223B04DC" w14:textId="77777777" w:rsidR="00CF2D13" w:rsidRDefault="00EA5C62">
      <w:pPr>
        <w:spacing w:after="0" w:line="276" w:lineRule="auto"/>
        <w:ind w:left="720" w:hanging="360"/>
        <w:jc w:val="both"/>
        <w:rPr>
          <w:rFonts w:ascii="Arial" w:eastAsia="Arial" w:hAnsi="Arial" w:cs="Arial"/>
          <w:b/>
        </w:rPr>
      </w:pPr>
      <w:r>
        <w:rPr>
          <w:rFonts w:ascii="Arial" w:eastAsia="Arial" w:hAnsi="Arial" w:cs="Arial"/>
          <w:b/>
        </w:rPr>
        <w:t>3.</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Generación de empleo</w:t>
      </w:r>
    </w:p>
    <w:p w14:paraId="4D363700"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33E8D4FD" w14:textId="77777777" w:rsidR="00CF2D13" w:rsidRDefault="00EA5C62">
      <w:pPr>
        <w:spacing w:after="0" w:line="276" w:lineRule="auto"/>
        <w:ind w:left="1080" w:hanging="360"/>
        <w:jc w:val="both"/>
        <w:rPr>
          <w:rFonts w:ascii="Arial" w:eastAsia="Arial" w:hAnsi="Arial" w:cs="Arial"/>
        </w:rPr>
      </w:pPr>
      <w:r>
        <w:lastRenderedPageBreak/>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 xml:space="preserve">Proyección de empleos: </w:t>
      </w:r>
      <w:r>
        <w:rPr>
          <w:rFonts w:ascii="Arial" w:eastAsia="Arial" w:hAnsi="Arial" w:cs="Arial"/>
        </w:rPr>
        <w:t>Creación de empleos directos e indirectos en construcción, operación y mantenimiento, así como en actividades de las industrias culturales y creativas.</w:t>
      </w:r>
    </w:p>
    <w:p w14:paraId="063FCD86"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58BC3876"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 xml:space="preserve">Metodología: </w:t>
      </w:r>
      <w:r>
        <w:rPr>
          <w:rFonts w:ascii="Arial" w:eastAsia="Arial" w:hAnsi="Arial" w:cs="Arial"/>
        </w:rPr>
        <w:t>Se calculó el beneficio económico con base en el 50 % del valor del OPEX como salarios, aplicando la razón precio-cuenta de mano de obra urbana (0.607) y la tasa social de descuento del 9 %.</w:t>
      </w:r>
    </w:p>
    <w:p w14:paraId="47CEFC34"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6AAE41F6"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 xml:space="preserve">Beneficio estimado: </w:t>
      </w:r>
      <w:r>
        <w:rPr>
          <w:rFonts w:ascii="Arial" w:eastAsia="Arial" w:hAnsi="Arial" w:cs="Arial"/>
        </w:rPr>
        <w:t>COP 23.256 millone</w:t>
      </w:r>
      <w:r>
        <w:rPr>
          <w:rFonts w:ascii="Arial" w:eastAsia="Arial" w:hAnsi="Arial" w:cs="Arial"/>
        </w:rPr>
        <w:t>s, reflejando el aporte del proyecto a la reactivación económica local.</w:t>
      </w:r>
    </w:p>
    <w:p w14:paraId="3A2569DC"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485B018D" w14:textId="77777777" w:rsidR="00CF2D13" w:rsidRDefault="00EA5C62">
      <w:pPr>
        <w:spacing w:after="0" w:line="276" w:lineRule="auto"/>
        <w:ind w:left="720" w:hanging="360"/>
        <w:jc w:val="both"/>
        <w:rPr>
          <w:rFonts w:ascii="Arial" w:eastAsia="Arial" w:hAnsi="Arial" w:cs="Arial"/>
          <w:b/>
        </w:rPr>
      </w:pPr>
      <w:r>
        <w:rPr>
          <w:rFonts w:ascii="Arial" w:eastAsia="Arial" w:hAnsi="Arial" w:cs="Arial"/>
          <w:b/>
        </w:rPr>
        <w:t>4.</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Valorización de predios</w:t>
      </w:r>
    </w:p>
    <w:p w14:paraId="665755E3"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3F86D33C"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 xml:space="preserve">Incremento del valor inmobiliario: </w:t>
      </w:r>
      <w:r>
        <w:rPr>
          <w:rFonts w:ascii="Arial" w:eastAsia="Arial" w:hAnsi="Arial" w:cs="Arial"/>
        </w:rPr>
        <w:t>Estimado en un 26 % en los predios del área de influencia, según estudios de valorización urbana.</w:t>
      </w:r>
    </w:p>
    <w:p w14:paraId="3262829C"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08395E09"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Metodol</w:t>
      </w:r>
      <w:r>
        <w:rPr>
          <w:rFonts w:ascii="Arial" w:eastAsia="Arial" w:hAnsi="Arial" w:cs="Arial"/>
          <w:b/>
        </w:rPr>
        <w:t xml:space="preserve">ogía: </w:t>
      </w:r>
      <w:r>
        <w:rPr>
          <w:rFonts w:ascii="Arial" w:eastAsia="Arial" w:hAnsi="Arial" w:cs="Arial"/>
        </w:rPr>
        <w:t>Análisis del valor promedio por manzana (2019-2023) con datos de Mapas Bogotá e IPVU.</w:t>
      </w:r>
    </w:p>
    <w:p w14:paraId="1BD93E10" w14:textId="77777777" w:rsidR="00CF2D13" w:rsidRDefault="00EA5C62">
      <w:pPr>
        <w:spacing w:after="0" w:line="276" w:lineRule="auto"/>
        <w:jc w:val="both"/>
        <w:rPr>
          <w:rFonts w:ascii="Arial" w:eastAsia="Arial" w:hAnsi="Arial" w:cs="Arial"/>
          <w:b/>
        </w:rPr>
      </w:pPr>
      <w:r>
        <w:rPr>
          <w:rFonts w:ascii="Arial" w:eastAsia="Arial" w:hAnsi="Arial" w:cs="Arial"/>
          <w:b/>
        </w:rPr>
        <w:t xml:space="preserve"> </w:t>
      </w:r>
    </w:p>
    <w:p w14:paraId="782EA787" w14:textId="77777777" w:rsidR="00CF2D13" w:rsidRDefault="00EA5C62">
      <w:pPr>
        <w:spacing w:after="0" w:line="276" w:lineRule="auto"/>
        <w:ind w:left="1080" w:hanging="360"/>
        <w:jc w:val="both"/>
        <w:rPr>
          <w:rFonts w:ascii="Arial" w:eastAsia="Arial" w:hAnsi="Arial" w:cs="Arial"/>
        </w:rPr>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b/>
        </w:rPr>
        <w:t xml:space="preserve">Beneficio estimado: </w:t>
      </w:r>
      <w:r>
        <w:rPr>
          <w:rFonts w:ascii="Arial" w:eastAsia="Arial" w:hAnsi="Arial" w:cs="Arial"/>
        </w:rPr>
        <w:t>COP 31.403 millones, incentivando la inversión privada y la recuperación económica del Voto Nacional.</w:t>
      </w:r>
    </w:p>
    <w:p w14:paraId="30DDDD54"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4A80BFF3" w14:textId="77777777" w:rsidR="00CF2D13" w:rsidRDefault="00EA5C62">
      <w:pPr>
        <w:spacing w:after="0" w:line="276" w:lineRule="auto"/>
        <w:jc w:val="both"/>
        <w:rPr>
          <w:rFonts w:ascii="Arial" w:eastAsia="Arial" w:hAnsi="Arial" w:cs="Arial"/>
          <w:b/>
        </w:rPr>
      </w:pPr>
      <w:r>
        <w:rPr>
          <w:rFonts w:ascii="Arial" w:eastAsia="Arial" w:hAnsi="Arial" w:cs="Arial"/>
          <w:b/>
        </w:rPr>
        <w:t>Conclusión general:</w:t>
      </w:r>
    </w:p>
    <w:p w14:paraId="48509E59"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57D7AAB3" w14:textId="77777777" w:rsidR="00CF2D13" w:rsidRDefault="00EA5C62">
      <w:pPr>
        <w:spacing w:after="0" w:line="276" w:lineRule="auto"/>
        <w:jc w:val="both"/>
        <w:rPr>
          <w:rFonts w:ascii="Arial" w:eastAsia="Arial" w:hAnsi="Arial" w:cs="Arial"/>
        </w:rPr>
      </w:pPr>
      <w:r>
        <w:rPr>
          <w:rFonts w:ascii="Arial" w:eastAsia="Arial" w:hAnsi="Arial" w:cs="Arial"/>
        </w:rPr>
        <w:t>Estos impac</w:t>
      </w:r>
      <w:r>
        <w:rPr>
          <w:rFonts w:ascii="Arial" w:eastAsia="Arial" w:hAnsi="Arial" w:cs="Arial"/>
        </w:rPr>
        <w:t>tos combinados, con un Valor Presente Neto Social (VPNS) de COP 51.193 millones y una relación Beneficio-Costo (B/C) de 1,84, evidencian que el Bronx Distrito Creativo es un proyecto socialmente rentable y sostenible, que impulsa la revitalización del cent</w:t>
      </w:r>
      <w:r>
        <w:rPr>
          <w:rFonts w:ascii="Arial" w:eastAsia="Arial" w:hAnsi="Arial" w:cs="Arial"/>
        </w:rPr>
        <w:t>ro histórico de Bogotá y genera beneficios económicos, culturales y comunitarios de largo plazo.</w:t>
      </w:r>
    </w:p>
    <w:p w14:paraId="07BC843A" w14:textId="77777777" w:rsidR="00CF2D13" w:rsidRDefault="00EA5C62">
      <w:pPr>
        <w:spacing w:after="0" w:line="276" w:lineRule="auto"/>
        <w:jc w:val="center"/>
        <w:rPr>
          <w:rFonts w:ascii="Arial" w:eastAsia="Arial" w:hAnsi="Arial" w:cs="Arial"/>
        </w:rPr>
      </w:pPr>
      <w:r>
        <w:rPr>
          <w:rFonts w:ascii="Arial" w:eastAsia="Arial" w:hAnsi="Arial" w:cs="Arial"/>
        </w:rPr>
        <w:t xml:space="preserve"> </w:t>
      </w:r>
    </w:p>
    <w:p w14:paraId="66294776" w14:textId="77777777" w:rsidR="00CF2D13" w:rsidRDefault="00EA5C62">
      <w:pPr>
        <w:spacing w:after="0" w:line="276" w:lineRule="auto"/>
        <w:jc w:val="both"/>
        <w:rPr>
          <w:rFonts w:ascii="Arial" w:eastAsia="Arial" w:hAnsi="Arial" w:cs="Arial"/>
          <w:b/>
        </w:rPr>
      </w:pPr>
      <w:r>
        <w:rPr>
          <w:rFonts w:ascii="Arial" w:eastAsia="Arial" w:hAnsi="Arial" w:cs="Arial"/>
          <w:b/>
        </w:rPr>
        <w:t>Beneficios no cuantificables</w:t>
      </w:r>
    </w:p>
    <w:p w14:paraId="58A76204" w14:textId="77777777" w:rsidR="00CF2D13" w:rsidRDefault="00EA5C62">
      <w:pPr>
        <w:spacing w:after="0" w:line="276" w:lineRule="auto"/>
        <w:jc w:val="both"/>
        <w:rPr>
          <w:rFonts w:ascii="Arial" w:eastAsia="Arial" w:hAnsi="Arial" w:cs="Arial"/>
        </w:rPr>
      </w:pPr>
      <w:r>
        <w:rPr>
          <w:rFonts w:ascii="Arial" w:eastAsia="Arial" w:hAnsi="Arial" w:cs="Arial"/>
        </w:rPr>
        <w:t xml:space="preserve"> </w:t>
      </w:r>
    </w:p>
    <w:p w14:paraId="28681FBA" w14:textId="77777777" w:rsidR="00CF2D13" w:rsidRDefault="00EA5C62">
      <w:pPr>
        <w:numPr>
          <w:ilvl w:val="0"/>
          <w:numId w:val="3"/>
        </w:numPr>
        <w:spacing w:after="0" w:line="276" w:lineRule="auto"/>
        <w:jc w:val="both"/>
      </w:pPr>
      <w:r>
        <w:rPr>
          <w:rFonts w:ascii="Arial" w:eastAsia="Arial" w:hAnsi="Arial" w:cs="Arial"/>
          <w:b/>
        </w:rPr>
        <w:t>Aumento del turismo cultural y creativo</w:t>
      </w:r>
      <w:r>
        <w:rPr>
          <w:rFonts w:ascii="Arial" w:eastAsia="Arial" w:hAnsi="Arial" w:cs="Arial"/>
        </w:rPr>
        <w:t>, posicionando el BDC como destino de experiencias y aprendizajes en el marco de los corredores culturales del centro histórico.</w:t>
      </w:r>
      <w:r>
        <w:rPr>
          <w:rFonts w:ascii="Arial" w:eastAsia="Arial" w:hAnsi="Arial" w:cs="Arial"/>
        </w:rPr>
        <w:br/>
      </w:r>
      <w:r>
        <w:rPr>
          <w:rFonts w:ascii="Arial" w:eastAsia="Arial" w:hAnsi="Arial" w:cs="Arial"/>
        </w:rPr>
        <w:br/>
      </w:r>
    </w:p>
    <w:p w14:paraId="3D95E81B" w14:textId="77777777" w:rsidR="00CF2D13" w:rsidRDefault="00EA5C62">
      <w:pPr>
        <w:numPr>
          <w:ilvl w:val="0"/>
          <w:numId w:val="3"/>
        </w:numPr>
        <w:spacing w:after="0" w:line="276" w:lineRule="auto"/>
        <w:jc w:val="both"/>
      </w:pPr>
      <w:r>
        <w:rPr>
          <w:rFonts w:ascii="Arial" w:eastAsia="Arial" w:hAnsi="Arial" w:cs="Arial"/>
          <w:b/>
        </w:rPr>
        <w:t>Valor agregado a las industrias culturales y creativas</w:t>
      </w:r>
      <w:r>
        <w:rPr>
          <w:rFonts w:ascii="Arial" w:eastAsia="Arial" w:hAnsi="Arial" w:cs="Arial"/>
        </w:rPr>
        <w:t>, mediante la articulación de espacios de creación, producción, distrib</w:t>
      </w:r>
      <w:r>
        <w:rPr>
          <w:rFonts w:ascii="Arial" w:eastAsia="Arial" w:hAnsi="Arial" w:cs="Arial"/>
        </w:rPr>
        <w:t>ución y consumo cultural.</w:t>
      </w:r>
      <w:r>
        <w:rPr>
          <w:rFonts w:ascii="Arial" w:eastAsia="Arial" w:hAnsi="Arial" w:cs="Arial"/>
        </w:rPr>
        <w:br/>
      </w:r>
      <w:r>
        <w:rPr>
          <w:rFonts w:ascii="Arial" w:eastAsia="Arial" w:hAnsi="Arial" w:cs="Arial"/>
        </w:rPr>
        <w:br/>
      </w:r>
    </w:p>
    <w:p w14:paraId="3AF61CDD" w14:textId="77777777" w:rsidR="00CF2D13" w:rsidRDefault="00EA5C62">
      <w:pPr>
        <w:numPr>
          <w:ilvl w:val="0"/>
          <w:numId w:val="3"/>
        </w:numPr>
        <w:spacing w:after="0" w:line="276" w:lineRule="auto"/>
        <w:jc w:val="both"/>
      </w:pPr>
      <w:r>
        <w:rPr>
          <w:rFonts w:ascii="Arial" w:eastAsia="Arial" w:hAnsi="Arial" w:cs="Arial"/>
          <w:b/>
        </w:rPr>
        <w:lastRenderedPageBreak/>
        <w:t>Dinamización del comercio local</w:t>
      </w:r>
      <w:r>
        <w:rPr>
          <w:rFonts w:ascii="Arial" w:eastAsia="Arial" w:hAnsi="Arial" w:cs="Arial"/>
        </w:rPr>
        <w:t>, que fortalece la cadena de valor urbana y la economía de servicios en la localidad de Los Mártires.</w:t>
      </w:r>
      <w:r>
        <w:rPr>
          <w:rFonts w:ascii="Arial" w:eastAsia="Arial" w:hAnsi="Arial" w:cs="Arial"/>
        </w:rPr>
        <w:br/>
      </w:r>
      <w:r>
        <w:rPr>
          <w:rFonts w:ascii="Arial" w:eastAsia="Arial" w:hAnsi="Arial" w:cs="Arial"/>
        </w:rPr>
        <w:br/>
      </w:r>
    </w:p>
    <w:p w14:paraId="0EBE27F3" w14:textId="77777777" w:rsidR="00CF2D13" w:rsidRDefault="00EA5C62">
      <w:pPr>
        <w:numPr>
          <w:ilvl w:val="0"/>
          <w:numId w:val="3"/>
        </w:numPr>
        <w:spacing w:after="0" w:line="276" w:lineRule="auto"/>
        <w:jc w:val="both"/>
      </w:pPr>
      <w:r>
        <w:rPr>
          <w:rFonts w:ascii="Arial" w:eastAsia="Arial" w:hAnsi="Arial" w:cs="Arial"/>
          <w:b/>
        </w:rPr>
        <w:t>Cohesión e inclusión social</w:t>
      </w:r>
      <w:r>
        <w:rPr>
          <w:rFonts w:ascii="Arial" w:eastAsia="Arial" w:hAnsi="Arial" w:cs="Arial"/>
        </w:rPr>
        <w:t>, gracias a programas de formación, empleabilidad y participación comunitaria liderados desde La Esquina Redonda.</w:t>
      </w:r>
    </w:p>
    <w:p w14:paraId="300F4AB4" w14:textId="77777777" w:rsidR="00CF2D13" w:rsidRDefault="00CF2D13">
      <w:pPr>
        <w:spacing w:after="0" w:line="240" w:lineRule="auto"/>
        <w:jc w:val="center"/>
        <w:rPr>
          <w:rFonts w:ascii="Arial" w:eastAsia="Arial" w:hAnsi="Arial" w:cs="Arial"/>
        </w:rPr>
      </w:pPr>
    </w:p>
    <w:p w14:paraId="55B1A26C" w14:textId="77777777" w:rsidR="00CF2D13" w:rsidRDefault="00CF2D13">
      <w:pPr>
        <w:jc w:val="both"/>
        <w:rPr>
          <w:rFonts w:ascii="Arial" w:eastAsia="Arial" w:hAnsi="Arial" w:cs="Arial"/>
          <w:sz w:val="18"/>
          <w:szCs w:val="18"/>
        </w:rPr>
      </w:pPr>
    </w:p>
    <w:p w14:paraId="1AB0EA92" w14:textId="77777777" w:rsidR="00CF2D13" w:rsidRDefault="00CF2D13">
      <w:pPr>
        <w:jc w:val="both"/>
        <w:rPr>
          <w:rFonts w:ascii="Arial" w:eastAsia="Arial" w:hAnsi="Arial" w:cs="Arial"/>
          <w:sz w:val="18"/>
          <w:szCs w:val="18"/>
        </w:rPr>
      </w:pPr>
    </w:p>
    <w:p w14:paraId="102394A5" w14:textId="77777777" w:rsidR="00CF2D13" w:rsidRDefault="00CF2D13">
      <w:pPr>
        <w:jc w:val="both"/>
        <w:rPr>
          <w:rFonts w:ascii="Arial" w:eastAsia="Arial" w:hAnsi="Arial" w:cs="Arial"/>
          <w:b/>
          <w:sz w:val="18"/>
          <w:szCs w:val="18"/>
        </w:rPr>
      </w:pPr>
    </w:p>
    <w:sectPr w:rsidR="00CF2D13">
      <w:headerReference w:type="default" r:id="rId8"/>
      <w:headerReference w:type="first" r:id="rId9"/>
      <w:pgSz w:w="12240" w:h="15840"/>
      <w:pgMar w:top="1417" w:right="1701" w:bottom="1417"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FD980" w14:textId="77777777" w:rsidR="00EA5C62" w:rsidRDefault="00EA5C62">
      <w:pPr>
        <w:spacing w:after="0" w:line="240" w:lineRule="auto"/>
      </w:pPr>
      <w:r>
        <w:separator/>
      </w:r>
    </w:p>
  </w:endnote>
  <w:endnote w:type="continuationSeparator" w:id="0">
    <w:p w14:paraId="26D7C5E7" w14:textId="77777777" w:rsidR="00EA5C62" w:rsidRDefault="00EA5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06E86" w14:textId="77777777" w:rsidR="00EA5C62" w:rsidRDefault="00EA5C62">
      <w:pPr>
        <w:spacing w:after="0" w:line="240" w:lineRule="auto"/>
      </w:pPr>
      <w:r>
        <w:separator/>
      </w:r>
    </w:p>
  </w:footnote>
  <w:footnote w:type="continuationSeparator" w:id="0">
    <w:p w14:paraId="5C7E9734" w14:textId="77777777" w:rsidR="00EA5C62" w:rsidRDefault="00EA5C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E8B72" w14:textId="77777777" w:rsidR="00CF2D13" w:rsidRDefault="00CF2D13">
    <w:pPr>
      <w:pBdr>
        <w:top w:val="nil"/>
        <w:left w:val="nil"/>
        <w:bottom w:val="nil"/>
        <w:right w:val="nil"/>
        <w:between w:val="nil"/>
      </w:pBdr>
      <w:tabs>
        <w:tab w:val="center" w:pos="4419"/>
        <w:tab w:val="right" w:pos="8838"/>
      </w:tabs>
      <w:spacing w:after="0" w:line="240" w:lineRule="auto"/>
      <w:jc w:val="right"/>
      <w:rPr>
        <w:color w:val="000000"/>
      </w:rPr>
    </w:pPr>
  </w:p>
  <w:p w14:paraId="30187958" w14:textId="77777777" w:rsidR="00CF2D13" w:rsidRDefault="00EA5C62">
    <w:pPr>
      <w:pBdr>
        <w:top w:val="nil"/>
        <w:left w:val="nil"/>
        <w:bottom w:val="nil"/>
        <w:right w:val="nil"/>
        <w:between w:val="nil"/>
      </w:pBdr>
      <w:tabs>
        <w:tab w:val="center" w:pos="4419"/>
        <w:tab w:val="right" w:pos="8838"/>
      </w:tabs>
      <w:spacing w:after="0" w:line="240" w:lineRule="auto"/>
      <w:jc w:val="center"/>
      <w:rPr>
        <w:color w:val="000000"/>
      </w:rPr>
    </w:pPr>
    <w:r>
      <w:rPr>
        <w:noProof/>
      </w:rPr>
      <w:drawing>
        <wp:anchor distT="0" distB="0" distL="114300" distR="114300" simplePos="0" relativeHeight="251658240" behindDoc="0" locked="0" layoutInCell="1" hidden="0" allowOverlap="1" wp14:anchorId="60152D3F" wp14:editId="2775ABF8">
          <wp:simplePos x="0" y="0"/>
          <wp:positionH relativeFrom="column">
            <wp:posOffset>2279291</wp:posOffset>
          </wp:positionH>
          <wp:positionV relativeFrom="paragraph">
            <wp:posOffset>7317</wp:posOffset>
          </wp:positionV>
          <wp:extent cx="1053547" cy="532496"/>
          <wp:effectExtent l="0" t="0" r="0" b="0"/>
          <wp:wrapNone/>
          <wp:docPr id="1545414109" name="image1.png" descr="Logotipo, nombre de la empres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Logotipo, nombre de la empresa&#10;&#10;Descripción generada automáticamente"/>
                  <pic:cNvPicPr preferRelativeResize="0"/>
                </pic:nvPicPr>
                <pic:blipFill>
                  <a:blip r:embed="rId1"/>
                  <a:srcRect/>
                  <a:stretch>
                    <a:fillRect/>
                  </a:stretch>
                </pic:blipFill>
                <pic:spPr>
                  <a:xfrm>
                    <a:off x="0" y="0"/>
                    <a:ext cx="1053547" cy="532496"/>
                  </a:xfrm>
                  <a:prstGeom prst="rect">
                    <a:avLst/>
                  </a:prstGeom>
                  <a:ln/>
                </pic:spPr>
              </pic:pic>
            </a:graphicData>
          </a:graphic>
        </wp:anchor>
      </w:drawing>
    </w:r>
  </w:p>
  <w:p w14:paraId="35F3F239" w14:textId="77777777" w:rsidR="00CF2D13" w:rsidRDefault="00CF2D13">
    <w:pPr>
      <w:pBdr>
        <w:top w:val="nil"/>
        <w:left w:val="nil"/>
        <w:bottom w:val="nil"/>
        <w:right w:val="nil"/>
        <w:between w:val="nil"/>
      </w:pBdr>
      <w:tabs>
        <w:tab w:val="center" w:pos="4419"/>
        <w:tab w:val="right" w:pos="8838"/>
      </w:tabs>
      <w:spacing w:after="0" w:line="240" w:lineRule="auto"/>
      <w:jc w:val="right"/>
      <w:rPr>
        <w:color w:val="000000"/>
      </w:rPr>
    </w:pPr>
  </w:p>
  <w:p w14:paraId="6AA03298" w14:textId="77777777" w:rsidR="00CF2D13" w:rsidRDefault="00CF2D13">
    <w:pPr>
      <w:pBdr>
        <w:top w:val="nil"/>
        <w:left w:val="nil"/>
        <w:bottom w:val="nil"/>
        <w:right w:val="nil"/>
        <w:between w:val="nil"/>
      </w:pBdr>
      <w:tabs>
        <w:tab w:val="center" w:pos="4419"/>
        <w:tab w:val="right" w:pos="8838"/>
      </w:tabs>
      <w:spacing w:after="0" w:line="240" w:lineRule="auto"/>
      <w:jc w:val="right"/>
      <w:rPr>
        <w:color w:val="000000"/>
      </w:rPr>
    </w:pPr>
  </w:p>
  <w:p w14:paraId="1EC1F2C6" w14:textId="77777777" w:rsidR="00CF2D13" w:rsidRDefault="00EA5C62">
    <w:pPr>
      <w:pBdr>
        <w:top w:val="nil"/>
        <w:left w:val="nil"/>
        <w:bottom w:val="nil"/>
        <w:right w:val="nil"/>
        <w:between w:val="nil"/>
      </w:pBdr>
      <w:tabs>
        <w:tab w:val="center" w:pos="4419"/>
        <w:tab w:val="right" w:pos="8838"/>
      </w:tabs>
      <w:spacing w:after="0" w:line="240" w:lineRule="auto"/>
      <w:jc w:val="right"/>
      <w:rPr>
        <w:color w:val="000000"/>
      </w:rPr>
    </w:pPr>
    <w:r>
      <w:rPr>
        <w:color w:val="000000"/>
      </w:rPr>
      <w:t xml:space="preserve">Página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9C3D3C">
      <w:rPr>
        <w:b/>
        <w:noProof/>
        <w:color w:val="000000"/>
        <w:sz w:val="24"/>
        <w:szCs w:val="24"/>
      </w:rPr>
      <w:t>2</w:t>
    </w:r>
    <w:r>
      <w:rPr>
        <w:b/>
        <w:color w:val="000000"/>
        <w:sz w:val="24"/>
        <w:szCs w:val="24"/>
      </w:rPr>
      <w:fldChar w:fldCharType="end"/>
    </w:r>
    <w:r>
      <w:rPr>
        <w:color w:val="000000"/>
      </w:rPr>
      <w:t xml:space="preserve"> de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9C3D3C">
      <w:rPr>
        <w:b/>
        <w:noProof/>
        <w:color w:val="000000"/>
        <w:sz w:val="24"/>
        <w:szCs w:val="24"/>
      </w:rPr>
      <w:t>3</w:t>
    </w:r>
    <w:r>
      <w:rPr>
        <w:b/>
        <w:color w:val="000000"/>
        <w:sz w:val="24"/>
        <w:szCs w:val="24"/>
      </w:rPr>
      <w:fldChar w:fldCharType="end"/>
    </w:r>
  </w:p>
  <w:p w14:paraId="118B4B95" w14:textId="77777777" w:rsidR="00CF2D13" w:rsidRDefault="00CF2D13">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4F65C" w14:textId="77777777" w:rsidR="00CF2D13" w:rsidRDefault="00EA5C62">
    <w:pPr>
      <w:pBdr>
        <w:top w:val="nil"/>
        <w:left w:val="nil"/>
        <w:bottom w:val="nil"/>
        <w:right w:val="nil"/>
        <w:between w:val="nil"/>
      </w:pBdr>
      <w:tabs>
        <w:tab w:val="center" w:pos="4419"/>
        <w:tab w:val="right" w:pos="8838"/>
      </w:tabs>
      <w:spacing w:after="0" w:line="240" w:lineRule="auto"/>
      <w:rPr>
        <w:color w:val="000000"/>
      </w:rPr>
    </w:pPr>
    <w:r>
      <w:rPr>
        <w:noProof/>
      </w:rPr>
      <w:drawing>
        <wp:anchor distT="0" distB="0" distL="114300" distR="114300" simplePos="0" relativeHeight="251659264" behindDoc="0" locked="0" layoutInCell="1" hidden="0" allowOverlap="1" wp14:anchorId="68531A04" wp14:editId="5719EBE2">
          <wp:simplePos x="0" y="0"/>
          <wp:positionH relativeFrom="column">
            <wp:posOffset>2279291</wp:posOffset>
          </wp:positionH>
          <wp:positionV relativeFrom="paragraph">
            <wp:posOffset>55024</wp:posOffset>
          </wp:positionV>
          <wp:extent cx="1053547" cy="532496"/>
          <wp:effectExtent l="0" t="0" r="0" b="0"/>
          <wp:wrapNone/>
          <wp:docPr id="1545414110" name="image1.png" descr="Logotipo, nombre de la empres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Logotipo, nombre de la empresa&#10;&#10;Descripción generada automáticamente"/>
                  <pic:cNvPicPr preferRelativeResize="0"/>
                </pic:nvPicPr>
                <pic:blipFill>
                  <a:blip r:embed="rId1"/>
                  <a:srcRect/>
                  <a:stretch>
                    <a:fillRect/>
                  </a:stretch>
                </pic:blipFill>
                <pic:spPr>
                  <a:xfrm>
                    <a:off x="0" y="0"/>
                    <a:ext cx="1053547" cy="532496"/>
                  </a:xfrm>
                  <a:prstGeom prst="rect">
                    <a:avLst/>
                  </a:prstGeom>
                  <a:ln/>
                </pic:spPr>
              </pic:pic>
            </a:graphicData>
          </a:graphic>
        </wp:anchor>
      </w:drawing>
    </w:r>
  </w:p>
  <w:p w14:paraId="3F9C0083" w14:textId="77777777" w:rsidR="00CF2D13" w:rsidRDefault="00CF2D13">
    <w:pPr>
      <w:pBdr>
        <w:top w:val="nil"/>
        <w:left w:val="nil"/>
        <w:bottom w:val="nil"/>
        <w:right w:val="nil"/>
        <w:between w:val="nil"/>
      </w:pBdr>
      <w:tabs>
        <w:tab w:val="center" w:pos="4419"/>
        <w:tab w:val="right" w:pos="8838"/>
      </w:tabs>
      <w:spacing w:after="0" w:line="240" w:lineRule="auto"/>
      <w:rPr>
        <w:color w:val="000000"/>
      </w:rPr>
    </w:pPr>
  </w:p>
  <w:p w14:paraId="5ECC7A4E" w14:textId="77777777" w:rsidR="00CF2D13" w:rsidRDefault="00CF2D13">
    <w:pPr>
      <w:pBdr>
        <w:top w:val="nil"/>
        <w:left w:val="nil"/>
        <w:bottom w:val="nil"/>
        <w:right w:val="nil"/>
        <w:between w:val="nil"/>
      </w:pBdr>
      <w:tabs>
        <w:tab w:val="center" w:pos="4419"/>
        <w:tab w:val="right" w:pos="8838"/>
      </w:tabs>
      <w:spacing w:after="0" w:line="240" w:lineRule="auto"/>
      <w:rPr>
        <w:color w:val="000000"/>
      </w:rPr>
    </w:pPr>
  </w:p>
  <w:p w14:paraId="657CDE92" w14:textId="77777777" w:rsidR="00CF2D13" w:rsidRDefault="00CF2D13">
    <w:pPr>
      <w:pBdr>
        <w:top w:val="nil"/>
        <w:left w:val="nil"/>
        <w:bottom w:val="nil"/>
        <w:right w:val="nil"/>
        <w:between w:val="nil"/>
      </w:pBdr>
      <w:tabs>
        <w:tab w:val="center" w:pos="4419"/>
        <w:tab w:val="right" w:pos="8838"/>
      </w:tabs>
      <w:spacing w:after="0" w:line="240" w:lineRule="auto"/>
      <w:rPr>
        <w:color w:val="000000"/>
      </w:rPr>
    </w:pPr>
  </w:p>
  <w:p w14:paraId="027377E3" w14:textId="77777777" w:rsidR="00CF2D13" w:rsidRDefault="00CF2D13">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E45E9"/>
    <w:multiLevelType w:val="multilevel"/>
    <w:tmpl w:val="65E6B3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CA1F98"/>
    <w:multiLevelType w:val="multilevel"/>
    <w:tmpl w:val="7EDADA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F882F68"/>
    <w:multiLevelType w:val="multilevel"/>
    <w:tmpl w:val="E1F06A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4836967"/>
    <w:multiLevelType w:val="multilevel"/>
    <w:tmpl w:val="B56A15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52814F7"/>
    <w:multiLevelType w:val="multilevel"/>
    <w:tmpl w:val="13309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D7D5A6C"/>
    <w:multiLevelType w:val="multilevel"/>
    <w:tmpl w:val="4EC2BB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2244539"/>
    <w:multiLevelType w:val="multilevel"/>
    <w:tmpl w:val="BB1CB2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65A70B94"/>
    <w:multiLevelType w:val="multilevel"/>
    <w:tmpl w:val="9A68F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7"/>
  </w:num>
  <w:num w:numId="3">
    <w:abstractNumId w:val="1"/>
  </w:num>
  <w:num w:numId="4">
    <w:abstractNumId w:val="2"/>
  </w:num>
  <w:num w:numId="5">
    <w:abstractNumId w:val="3"/>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D13"/>
    <w:rsid w:val="009C3D3C"/>
    <w:rsid w:val="00CF2D13"/>
    <w:rsid w:val="00D916ED"/>
    <w:rsid w:val="00EA5C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B5A23"/>
  <w15:docId w15:val="{0754EF5A-C728-40BC-B872-0CD528FEE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C54C68"/>
    <w:pPr>
      <w:ind w:left="720"/>
      <w:contextualSpacing/>
    </w:pPr>
  </w:style>
  <w:style w:type="paragraph" w:styleId="Encabezado">
    <w:name w:val="header"/>
    <w:basedOn w:val="Normal"/>
    <w:link w:val="EncabezadoCar"/>
    <w:uiPriority w:val="99"/>
    <w:unhideWhenUsed/>
    <w:rsid w:val="00C54C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54C68"/>
  </w:style>
  <w:style w:type="paragraph" w:styleId="Piedepgina">
    <w:name w:val="footer"/>
    <w:basedOn w:val="Normal"/>
    <w:link w:val="PiedepginaCar"/>
    <w:uiPriority w:val="99"/>
    <w:unhideWhenUsed/>
    <w:rsid w:val="00C54C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54C68"/>
  </w:style>
  <w:style w:type="table" w:styleId="Tablaconcuadrcula">
    <w:name w:val="Table Grid"/>
    <w:basedOn w:val="Tablanormal"/>
    <w:uiPriority w:val="39"/>
    <w:rsid w:val="00577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A53A9A"/>
    <w:pPr>
      <w:spacing w:after="0" w:line="240" w:lineRule="auto"/>
    </w:pPr>
  </w:style>
  <w:style w:type="character" w:styleId="Refdecomentario">
    <w:name w:val="annotation reference"/>
    <w:basedOn w:val="Fuentedeprrafopredeter"/>
    <w:uiPriority w:val="99"/>
    <w:semiHidden/>
    <w:unhideWhenUsed/>
    <w:rsid w:val="00073A76"/>
    <w:rPr>
      <w:sz w:val="16"/>
      <w:szCs w:val="16"/>
    </w:rPr>
  </w:style>
  <w:style w:type="paragraph" w:styleId="Textocomentario">
    <w:name w:val="annotation text"/>
    <w:basedOn w:val="Normal"/>
    <w:link w:val="TextocomentarioCar"/>
    <w:uiPriority w:val="99"/>
    <w:unhideWhenUsed/>
    <w:rsid w:val="00073A76"/>
    <w:pPr>
      <w:spacing w:line="240" w:lineRule="auto"/>
    </w:pPr>
    <w:rPr>
      <w:sz w:val="20"/>
      <w:szCs w:val="20"/>
    </w:rPr>
  </w:style>
  <w:style w:type="character" w:customStyle="1" w:styleId="TextocomentarioCar">
    <w:name w:val="Texto comentario Car"/>
    <w:basedOn w:val="Fuentedeprrafopredeter"/>
    <w:link w:val="Textocomentario"/>
    <w:uiPriority w:val="99"/>
    <w:rsid w:val="00073A76"/>
    <w:rPr>
      <w:sz w:val="20"/>
      <w:szCs w:val="20"/>
    </w:rPr>
  </w:style>
  <w:style w:type="paragraph" w:styleId="Asuntodelcomentario">
    <w:name w:val="annotation subject"/>
    <w:basedOn w:val="Textocomentario"/>
    <w:next w:val="Textocomentario"/>
    <w:link w:val="AsuntodelcomentarioCar"/>
    <w:uiPriority w:val="99"/>
    <w:semiHidden/>
    <w:unhideWhenUsed/>
    <w:rsid w:val="00073A76"/>
    <w:rPr>
      <w:b/>
      <w:bCs/>
    </w:rPr>
  </w:style>
  <w:style w:type="character" w:customStyle="1" w:styleId="AsuntodelcomentarioCar">
    <w:name w:val="Asunto del comentario Car"/>
    <w:basedOn w:val="TextocomentarioCar"/>
    <w:link w:val="Asuntodelcomentario"/>
    <w:uiPriority w:val="99"/>
    <w:semiHidden/>
    <w:rsid w:val="00073A76"/>
    <w:rPr>
      <w:b/>
      <w:bCs/>
      <w:sz w:val="20"/>
      <w:szCs w:val="20"/>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7nlKDZsxyXjF/VwYVkBXfSMftg==">CgMxLjA4AHIhMTBtcUNZRWR0RXNNRm5VbDR6T0JZTU1JenpQTnV6b0hl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2673</Words>
  <Characters>14704</Characters>
  <Application>Microsoft Office Word</Application>
  <DocSecurity>0</DocSecurity>
  <Lines>122</Lines>
  <Paragraphs>34</Paragraphs>
  <ScaleCrop>false</ScaleCrop>
  <Company/>
  <LinksUpToDate>false</LinksUpToDate>
  <CharactersWithSpaces>17343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diego  bonelo pava</dc:creator>
  <cp:lastModifiedBy>Anggie Lorena</cp:lastModifiedBy>
  <cp:revision>3</cp:revision>
  <dcterms:created xsi:type="dcterms:W3CDTF">2024-10-04T21:16:00Z</dcterms:created>
  <dcterms:modified xsi:type="dcterms:W3CDTF">2025-10-11T01:51:00Z</dcterms:modified>
</cp:coreProperties>
</file>